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54063" w14:textId="3B8260F0" w:rsidR="00934670" w:rsidRPr="00145F55" w:rsidRDefault="002C66D6" w:rsidP="00D23445">
      <w:pPr>
        <w:rPr>
          <w:b/>
          <w:sz w:val="28"/>
        </w:rPr>
      </w:pPr>
      <w:r w:rsidRPr="00145F55">
        <w:rPr>
          <w:rFonts w:hint="eastAsia"/>
          <w:b/>
          <w:sz w:val="28"/>
        </w:rPr>
        <w:t>教學計劃表</w:t>
      </w:r>
      <w:r w:rsidRPr="00145F55">
        <w:rPr>
          <w:rFonts w:hint="eastAsia"/>
          <w:b/>
          <w:sz w:val="28"/>
        </w:rPr>
        <w:t>-</w:t>
      </w:r>
      <w:r w:rsidR="00474DEF">
        <w:rPr>
          <w:rFonts w:hint="eastAsia"/>
          <w:b/>
          <w:sz w:val="28"/>
        </w:rPr>
        <w:t>七</w:t>
      </w:r>
      <w:r w:rsidRPr="00145F55">
        <w:rPr>
          <w:rFonts w:hint="eastAsia"/>
          <w:b/>
          <w:sz w:val="28"/>
        </w:rPr>
        <w:t>年級</w:t>
      </w:r>
      <w:r w:rsidR="00474DEF">
        <w:rPr>
          <w:rFonts w:hint="eastAsia"/>
          <w:b/>
          <w:sz w:val="28"/>
        </w:rPr>
        <w:t>資優生物</w:t>
      </w:r>
      <w:r w:rsidR="00474DEF">
        <w:rPr>
          <w:rFonts w:hint="eastAsia"/>
          <w:b/>
          <w:sz w:val="28"/>
        </w:rPr>
        <w:t>(</w:t>
      </w:r>
      <w:r w:rsidR="00474DEF" w:rsidRPr="00145F55">
        <w:rPr>
          <w:rFonts w:hint="eastAsia"/>
          <w:b/>
          <w:sz w:val="28"/>
        </w:rPr>
        <w:t>自然與生活科技</w:t>
      </w:r>
      <w:r w:rsidR="00474DEF">
        <w:rPr>
          <w:rFonts w:hint="eastAsia"/>
          <w:b/>
          <w:sz w:val="28"/>
        </w:rPr>
        <w:t>)</w:t>
      </w:r>
    </w:p>
    <w:tbl>
      <w:tblPr>
        <w:tblStyle w:val="a3"/>
        <w:tblW w:w="0" w:type="auto"/>
        <w:tblLook w:val="04A0" w:firstRow="1" w:lastRow="0" w:firstColumn="1" w:lastColumn="0" w:noHBand="0" w:noVBand="1"/>
      </w:tblPr>
      <w:tblGrid>
        <w:gridCol w:w="1480"/>
        <w:gridCol w:w="8976"/>
      </w:tblGrid>
      <w:tr w:rsidR="00D23445" w14:paraId="362B7B3B" w14:textId="77777777" w:rsidTr="00D80896">
        <w:tc>
          <w:tcPr>
            <w:tcW w:w="10682" w:type="dxa"/>
            <w:gridSpan w:val="2"/>
            <w:tcBorders>
              <w:top w:val="single" w:sz="12" w:space="0" w:color="auto"/>
            </w:tcBorders>
          </w:tcPr>
          <w:p w14:paraId="1AE3F49A" w14:textId="16D82EC3" w:rsidR="00D23445" w:rsidRDefault="00406B7F" w:rsidP="002C66D6">
            <w:pPr>
              <w:jc w:val="center"/>
            </w:pPr>
            <w:r>
              <w:rPr>
                <w:rFonts w:hint="eastAsia"/>
              </w:rPr>
              <w:t>11</w:t>
            </w:r>
            <w:r w:rsidR="007740D9">
              <w:rPr>
                <w:rFonts w:hint="eastAsia"/>
              </w:rPr>
              <w:t>4</w:t>
            </w:r>
            <w:bookmarkStart w:id="0" w:name="_GoBack"/>
            <w:bookmarkEnd w:id="0"/>
            <w:r w:rsidR="00D23445">
              <w:rPr>
                <w:rFonts w:hint="eastAsia"/>
              </w:rPr>
              <w:t>學年度</w:t>
            </w:r>
          </w:p>
        </w:tc>
      </w:tr>
      <w:tr w:rsidR="00D23445" w14:paraId="1179C227" w14:textId="77777777" w:rsidTr="00D80896">
        <w:tc>
          <w:tcPr>
            <w:tcW w:w="1766" w:type="dxa"/>
            <w:tcBorders>
              <w:top w:val="single" w:sz="12" w:space="0" w:color="auto"/>
              <w:left w:val="single" w:sz="12" w:space="0" w:color="auto"/>
              <w:bottom w:val="single" w:sz="12" w:space="0" w:color="auto"/>
              <w:right w:val="single" w:sz="12" w:space="0" w:color="auto"/>
            </w:tcBorders>
            <w:vAlign w:val="center"/>
          </w:tcPr>
          <w:p w14:paraId="3D23649E" w14:textId="0DC9E73F" w:rsidR="00D23445" w:rsidRDefault="00D80896" w:rsidP="00145F55">
            <w:pPr>
              <w:jc w:val="center"/>
            </w:pPr>
            <w:r w:rsidRPr="00D80896">
              <w:rPr>
                <w:rFonts w:ascii="標楷體" w:eastAsia="標楷體" w:hAnsi="標楷體" w:cs="標楷體"/>
                <w:kern w:val="0"/>
                <w:szCs w:val="24"/>
              </w:rPr>
              <w:t>總綱核心素養</w:t>
            </w:r>
          </w:p>
        </w:tc>
        <w:tc>
          <w:tcPr>
            <w:tcW w:w="8916" w:type="dxa"/>
            <w:tcBorders>
              <w:top w:val="single" w:sz="12" w:space="0" w:color="auto"/>
              <w:left w:val="single" w:sz="12" w:space="0" w:color="auto"/>
              <w:bottom w:val="single" w:sz="12" w:space="0" w:color="auto"/>
              <w:right w:val="single" w:sz="12" w:space="0" w:color="auto"/>
            </w:tcBorders>
          </w:tcPr>
          <w:p w14:paraId="23C41F14" w14:textId="77777777" w:rsidR="00D80896" w:rsidRPr="00D80896" w:rsidRDefault="00D80896" w:rsidP="00D80896">
            <w:pPr>
              <w:suppressAutoHyphens/>
              <w:autoSpaceDE w:val="0"/>
              <w:autoSpaceDN w:val="0"/>
              <w:adjustRightInd w:val="0"/>
              <w:textAlignment w:val="baseline"/>
              <w:rPr>
                <w:rFonts w:ascii="標楷體" w:eastAsia="標楷體" w:hAnsi="標楷體" w:cs="新細明體"/>
                <w:kern w:val="0"/>
                <w:szCs w:val="24"/>
              </w:rPr>
            </w:pPr>
            <w:r w:rsidRPr="00D80896">
              <w:rPr>
                <w:rFonts w:ascii="標楷體" w:eastAsia="標楷體" w:hAnsi="標楷體" w:cs="新細明體" w:hint="eastAsia"/>
                <w:b/>
                <w:kern w:val="0"/>
                <w:szCs w:val="24"/>
              </w:rPr>
              <w:t xml:space="preserve">■ </w:t>
            </w:r>
            <w:r w:rsidRPr="00D80896">
              <w:rPr>
                <w:rFonts w:ascii="標楷體" w:eastAsia="標楷體" w:hAnsi="標楷體" w:cs="新細明體"/>
                <w:kern w:val="0"/>
                <w:szCs w:val="24"/>
              </w:rPr>
              <w:t>A1</w:t>
            </w:r>
            <w:r w:rsidRPr="00D80896">
              <w:rPr>
                <w:rFonts w:ascii="標楷體" w:eastAsia="標楷體" w:hAnsi="標楷體" w:cs="新細明體" w:hint="eastAsia"/>
                <w:kern w:val="0"/>
                <w:szCs w:val="24"/>
              </w:rPr>
              <w:t>身心素質與自我精進</w:t>
            </w:r>
          </w:p>
          <w:p w14:paraId="35E91164" w14:textId="77777777" w:rsidR="00D80896" w:rsidRPr="00D80896" w:rsidRDefault="00D80896" w:rsidP="00D80896">
            <w:pPr>
              <w:suppressAutoHyphens/>
              <w:autoSpaceDE w:val="0"/>
              <w:autoSpaceDN w:val="0"/>
              <w:adjustRightInd w:val="0"/>
              <w:textAlignment w:val="baseline"/>
              <w:rPr>
                <w:rFonts w:ascii="標楷體" w:eastAsia="標楷體" w:hAnsi="標楷體" w:cs="新細明體"/>
                <w:kern w:val="0"/>
                <w:szCs w:val="24"/>
              </w:rPr>
            </w:pPr>
            <w:r w:rsidRPr="00D80896">
              <w:rPr>
                <w:rFonts w:ascii="標楷體" w:eastAsia="標楷體" w:hAnsi="標楷體" w:cs="新細明體" w:hint="eastAsia"/>
                <w:b/>
                <w:kern w:val="0"/>
                <w:szCs w:val="24"/>
              </w:rPr>
              <w:t xml:space="preserve">■ </w:t>
            </w:r>
            <w:r w:rsidRPr="00D80896">
              <w:rPr>
                <w:rFonts w:ascii="標楷體" w:eastAsia="標楷體" w:hAnsi="標楷體" w:cs="新細明體"/>
                <w:kern w:val="0"/>
                <w:szCs w:val="24"/>
              </w:rPr>
              <w:t>A</w:t>
            </w:r>
            <w:r w:rsidRPr="00D80896">
              <w:rPr>
                <w:rFonts w:ascii="標楷體" w:eastAsia="標楷體" w:hAnsi="標楷體" w:cs="新細明體" w:hint="eastAsia"/>
                <w:kern w:val="0"/>
                <w:szCs w:val="24"/>
              </w:rPr>
              <w:t>2</w:t>
            </w:r>
            <w:r w:rsidRPr="00D80896">
              <w:rPr>
                <w:rFonts w:ascii="標楷體" w:eastAsia="標楷體" w:hAnsi="標楷體" w:cs="Times New Roman" w:hint="eastAsia"/>
                <w:kern w:val="0"/>
                <w:szCs w:val="24"/>
              </w:rPr>
              <w:t>系統思考</w:t>
            </w:r>
            <w:r w:rsidRPr="00D80896">
              <w:rPr>
                <w:rFonts w:ascii="標楷體" w:eastAsia="標楷體" w:hAnsi="標楷體" w:cs="新細明體" w:hint="eastAsia"/>
                <w:kern w:val="0"/>
                <w:szCs w:val="24"/>
              </w:rPr>
              <w:t>與解決問題</w:t>
            </w:r>
          </w:p>
          <w:p w14:paraId="494CFBF9" w14:textId="77777777" w:rsidR="00D80896" w:rsidRPr="00D80896" w:rsidRDefault="00D80896" w:rsidP="00D80896">
            <w:pPr>
              <w:suppressAutoHyphens/>
              <w:autoSpaceDE w:val="0"/>
              <w:autoSpaceDN w:val="0"/>
              <w:adjustRightInd w:val="0"/>
              <w:textAlignment w:val="baseline"/>
              <w:rPr>
                <w:rFonts w:ascii="標楷體" w:eastAsia="標楷體" w:hAnsi="標楷體" w:cs="新細明體"/>
                <w:kern w:val="0"/>
                <w:szCs w:val="24"/>
              </w:rPr>
            </w:pPr>
            <w:r w:rsidRPr="00D80896">
              <w:rPr>
                <w:rFonts w:ascii="標楷體" w:eastAsia="標楷體" w:hAnsi="標楷體" w:cs="新細明體" w:hint="eastAsia"/>
                <w:b/>
                <w:kern w:val="0"/>
                <w:szCs w:val="24"/>
              </w:rPr>
              <w:t xml:space="preserve">■ </w:t>
            </w:r>
            <w:r w:rsidRPr="00D80896">
              <w:rPr>
                <w:rFonts w:ascii="標楷體" w:eastAsia="標楷體" w:hAnsi="標楷體" w:cs="新細明體"/>
                <w:kern w:val="0"/>
                <w:szCs w:val="24"/>
              </w:rPr>
              <w:t>A</w:t>
            </w:r>
            <w:r w:rsidRPr="00D80896">
              <w:rPr>
                <w:rFonts w:ascii="標楷體" w:eastAsia="標楷體" w:hAnsi="標楷體" w:cs="新細明體" w:hint="eastAsia"/>
                <w:kern w:val="0"/>
                <w:szCs w:val="24"/>
              </w:rPr>
              <w:t>3</w:t>
            </w:r>
            <w:r w:rsidRPr="00D80896">
              <w:rPr>
                <w:rFonts w:ascii="標楷體" w:eastAsia="標楷體" w:hAnsi="標楷體" w:cs="Times New Roman" w:hint="eastAsia"/>
                <w:kern w:val="0"/>
                <w:szCs w:val="24"/>
              </w:rPr>
              <w:t>規劃執行</w:t>
            </w:r>
            <w:r w:rsidRPr="00D80896">
              <w:rPr>
                <w:rFonts w:ascii="標楷體" w:eastAsia="標楷體" w:hAnsi="標楷體" w:cs="新細明體" w:hint="eastAsia"/>
                <w:kern w:val="0"/>
                <w:szCs w:val="24"/>
              </w:rPr>
              <w:t>與創新應變</w:t>
            </w:r>
          </w:p>
          <w:p w14:paraId="296B66B6" w14:textId="77777777" w:rsidR="00D80896" w:rsidRPr="00D80896" w:rsidRDefault="00D80896" w:rsidP="00D80896">
            <w:pPr>
              <w:suppressAutoHyphens/>
              <w:autoSpaceDE w:val="0"/>
              <w:autoSpaceDN w:val="0"/>
              <w:adjustRightInd w:val="0"/>
              <w:textAlignment w:val="baseline"/>
              <w:rPr>
                <w:rFonts w:ascii="標楷體" w:eastAsia="標楷體" w:hAnsi="標楷體" w:cs="新細明體"/>
                <w:kern w:val="0"/>
                <w:szCs w:val="24"/>
              </w:rPr>
            </w:pPr>
            <w:r w:rsidRPr="00D80896">
              <w:rPr>
                <w:rFonts w:ascii="標楷體" w:eastAsia="標楷體" w:hAnsi="標楷體" w:cs="新細明體" w:hint="eastAsia"/>
                <w:b/>
                <w:kern w:val="0"/>
                <w:szCs w:val="24"/>
              </w:rPr>
              <w:t xml:space="preserve">■ </w:t>
            </w:r>
            <w:r w:rsidRPr="00D80896">
              <w:rPr>
                <w:rFonts w:ascii="標楷體" w:eastAsia="標楷體" w:hAnsi="標楷體" w:cs="新細明體" w:hint="eastAsia"/>
                <w:kern w:val="0"/>
                <w:szCs w:val="24"/>
              </w:rPr>
              <w:t>B</w:t>
            </w:r>
            <w:r w:rsidRPr="00D80896">
              <w:rPr>
                <w:rFonts w:ascii="標楷體" w:eastAsia="標楷體" w:hAnsi="標楷體" w:cs="新細明體"/>
                <w:kern w:val="0"/>
                <w:szCs w:val="24"/>
              </w:rPr>
              <w:t>1</w:t>
            </w:r>
            <w:r w:rsidRPr="00D80896">
              <w:rPr>
                <w:rFonts w:ascii="標楷體" w:eastAsia="標楷體" w:hAnsi="標楷體" w:cs="Times New Roman" w:hint="eastAsia"/>
                <w:kern w:val="0"/>
                <w:szCs w:val="24"/>
              </w:rPr>
              <w:t>符號運用</w:t>
            </w:r>
            <w:r w:rsidRPr="00D80896">
              <w:rPr>
                <w:rFonts w:ascii="標楷體" w:eastAsia="標楷體" w:hAnsi="標楷體" w:cs="新細明體" w:hint="eastAsia"/>
                <w:kern w:val="0"/>
                <w:szCs w:val="24"/>
              </w:rPr>
              <w:t>與溝通表達</w:t>
            </w:r>
          </w:p>
          <w:p w14:paraId="18501322" w14:textId="77777777" w:rsidR="00D80896" w:rsidRPr="00D80896" w:rsidRDefault="00D80896" w:rsidP="00D80896">
            <w:pPr>
              <w:suppressAutoHyphens/>
              <w:autoSpaceDE w:val="0"/>
              <w:autoSpaceDN w:val="0"/>
              <w:adjustRightInd w:val="0"/>
              <w:textAlignment w:val="baseline"/>
              <w:rPr>
                <w:rFonts w:ascii="標楷體" w:eastAsia="標楷體" w:hAnsi="標楷體" w:cs="新細明體"/>
                <w:kern w:val="0"/>
                <w:szCs w:val="24"/>
              </w:rPr>
            </w:pPr>
            <w:r w:rsidRPr="00D80896">
              <w:rPr>
                <w:rFonts w:ascii="標楷體" w:eastAsia="標楷體" w:hAnsi="標楷體" w:cs="新細明體" w:hint="eastAsia"/>
                <w:b/>
                <w:kern w:val="0"/>
                <w:szCs w:val="24"/>
              </w:rPr>
              <w:t xml:space="preserve">■ </w:t>
            </w:r>
            <w:r w:rsidRPr="00D80896">
              <w:rPr>
                <w:rFonts w:ascii="標楷體" w:eastAsia="標楷體" w:hAnsi="標楷體" w:cs="新細明體" w:hint="eastAsia"/>
                <w:kern w:val="0"/>
                <w:szCs w:val="24"/>
              </w:rPr>
              <w:t>B2</w:t>
            </w:r>
            <w:r w:rsidRPr="00D80896">
              <w:rPr>
                <w:rFonts w:ascii="標楷體" w:eastAsia="標楷體" w:hAnsi="標楷體" w:cs="Times New Roman" w:hint="eastAsia"/>
                <w:kern w:val="0"/>
                <w:szCs w:val="24"/>
              </w:rPr>
              <w:t>科技資訊</w:t>
            </w:r>
            <w:r w:rsidRPr="00D80896">
              <w:rPr>
                <w:rFonts w:ascii="標楷體" w:eastAsia="標楷體" w:hAnsi="標楷體" w:cs="新細明體" w:hint="eastAsia"/>
                <w:kern w:val="0"/>
                <w:szCs w:val="24"/>
              </w:rPr>
              <w:t>與媒體素養</w:t>
            </w:r>
          </w:p>
          <w:p w14:paraId="52FACFF9" w14:textId="77777777" w:rsidR="00D80896" w:rsidRPr="00D80896" w:rsidRDefault="00D80896" w:rsidP="00D80896">
            <w:pPr>
              <w:suppressAutoHyphens/>
              <w:autoSpaceDE w:val="0"/>
              <w:autoSpaceDN w:val="0"/>
              <w:adjustRightInd w:val="0"/>
              <w:textAlignment w:val="baseline"/>
              <w:rPr>
                <w:rFonts w:ascii="標楷體" w:eastAsia="標楷體" w:hAnsi="標楷體" w:cs="新細明體"/>
                <w:kern w:val="0"/>
                <w:szCs w:val="24"/>
              </w:rPr>
            </w:pPr>
            <w:r w:rsidRPr="00D80896">
              <w:rPr>
                <w:rFonts w:ascii="標楷體" w:eastAsia="標楷體" w:hAnsi="標楷體" w:cs="新細明體" w:hint="eastAsia"/>
                <w:b/>
                <w:kern w:val="0"/>
                <w:szCs w:val="24"/>
              </w:rPr>
              <w:t xml:space="preserve">■ </w:t>
            </w:r>
            <w:r w:rsidRPr="00D80896">
              <w:rPr>
                <w:rFonts w:ascii="標楷體" w:eastAsia="標楷體" w:hAnsi="標楷體" w:cs="新細明體" w:hint="eastAsia"/>
                <w:kern w:val="0"/>
                <w:szCs w:val="24"/>
              </w:rPr>
              <w:t>B3</w:t>
            </w:r>
            <w:r w:rsidRPr="00D80896">
              <w:rPr>
                <w:rFonts w:ascii="標楷體" w:eastAsia="標楷體" w:hAnsi="標楷體" w:cs="Times New Roman" w:hint="eastAsia"/>
                <w:kern w:val="0"/>
                <w:szCs w:val="24"/>
              </w:rPr>
              <w:t>藝術涵養</w:t>
            </w:r>
            <w:r w:rsidRPr="00D80896">
              <w:rPr>
                <w:rFonts w:ascii="標楷體" w:eastAsia="標楷體" w:hAnsi="標楷體" w:cs="新細明體" w:hint="eastAsia"/>
                <w:kern w:val="0"/>
                <w:szCs w:val="24"/>
              </w:rPr>
              <w:t>與美感素養</w:t>
            </w:r>
          </w:p>
          <w:p w14:paraId="7B096E60" w14:textId="77777777" w:rsidR="00D80896" w:rsidRPr="00D80896" w:rsidRDefault="00D80896" w:rsidP="00D80896">
            <w:pPr>
              <w:suppressAutoHyphens/>
              <w:autoSpaceDE w:val="0"/>
              <w:autoSpaceDN w:val="0"/>
              <w:adjustRightInd w:val="0"/>
              <w:textAlignment w:val="baseline"/>
              <w:rPr>
                <w:rFonts w:ascii="標楷體" w:eastAsia="標楷體" w:hAnsi="標楷體" w:cs="新細明體"/>
                <w:kern w:val="0"/>
                <w:szCs w:val="24"/>
              </w:rPr>
            </w:pPr>
            <w:r w:rsidRPr="00D80896">
              <w:rPr>
                <w:rFonts w:ascii="標楷體" w:eastAsia="標楷體" w:hAnsi="標楷體" w:cs="新細明體" w:hint="eastAsia"/>
                <w:b/>
                <w:kern w:val="0"/>
                <w:szCs w:val="24"/>
              </w:rPr>
              <w:t xml:space="preserve">■ </w:t>
            </w:r>
            <w:r w:rsidRPr="00D80896">
              <w:rPr>
                <w:rFonts w:ascii="標楷體" w:eastAsia="標楷體" w:hAnsi="標楷體" w:cs="新細明體" w:hint="eastAsia"/>
                <w:kern w:val="0"/>
                <w:szCs w:val="24"/>
              </w:rPr>
              <w:t>C</w:t>
            </w:r>
            <w:r w:rsidRPr="00D80896">
              <w:rPr>
                <w:rFonts w:ascii="標楷體" w:eastAsia="標楷體" w:hAnsi="標楷體" w:cs="新細明體"/>
                <w:kern w:val="0"/>
                <w:szCs w:val="24"/>
              </w:rPr>
              <w:t>1</w:t>
            </w:r>
            <w:r w:rsidRPr="00D80896">
              <w:rPr>
                <w:rFonts w:ascii="標楷體" w:eastAsia="標楷體" w:hAnsi="標楷體" w:cs="Times New Roman" w:hint="eastAsia"/>
                <w:kern w:val="0"/>
                <w:szCs w:val="24"/>
              </w:rPr>
              <w:t>道德實踐</w:t>
            </w:r>
            <w:r w:rsidRPr="00D80896">
              <w:rPr>
                <w:rFonts w:ascii="標楷體" w:eastAsia="標楷體" w:hAnsi="標楷體" w:cs="新細明體" w:hint="eastAsia"/>
                <w:kern w:val="0"/>
                <w:szCs w:val="24"/>
              </w:rPr>
              <w:t>與公民意識</w:t>
            </w:r>
          </w:p>
          <w:p w14:paraId="33DC60CC" w14:textId="77777777" w:rsidR="00D80896" w:rsidRPr="00D80896" w:rsidRDefault="00D80896" w:rsidP="00D80896">
            <w:pPr>
              <w:suppressAutoHyphens/>
              <w:autoSpaceDE w:val="0"/>
              <w:autoSpaceDN w:val="0"/>
              <w:adjustRightInd w:val="0"/>
              <w:textAlignment w:val="baseline"/>
              <w:rPr>
                <w:rFonts w:ascii="標楷體" w:eastAsia="標楷體" w:hAnsi="標楷體" w:cs="新細明體"/>
                <w:kern w:val="0"/>
                <w:szCs w:val="24"/>
              </w:rPr>
            </w:pPr>
            <w:r w:rsidRPr="00D80896">
              <w:rPr>
                <w:rFonts w:ascii="標楷體" w:eastAsia="標楷體" w:hAnsi="標楷體" w:cs="新細明體" w:hint="eastAsia"/>
                <w:b/>
                <w:kern w:val="0"/>
                <w:szCs w:val="24"/>
              </w:rPr>
              <w:t xml:space="preserve">■ </w:t>
            </w:r>
            <w:r w:rsidRPr="00D80896">
              <w:rPr>
                <w:rFonts w:ascii="標楷體" w:eastAsia="標楷體" w:hAnsi="標楷體" w:cs="新細明體" w:hint="eastAsia"/>
                <w:kern w:val="0"/>
                <w:szCs w:val="24"/>
              </w:rPr>
              <w:t>C2</w:t>
            </w:r>
            <w:r w:rsidRPr="00D80896">
              <w:rPr>
                <w:rFonts w:ascii="標楷體" w:eastAsia="標楷體" w:hAnsi="標楷體" w:cs="Times New Roman" w:hint="eastAsia"/>
                <w:kern w:val="0"/>
                <w:szCs w:val="24"/>
              </w:rPr>
              <w:t>人際關係</w:t>
            </w:r>
            <w:r w:rsidRPr="00D80896">
              <w:rPr>
                <w:rFonts w:ascii="標楷體" w:eastAsia="標楷體" w:hAnsi="標楷體" w:cs="新細明體" w:hint="eastAsia"/>
                <w:kern w:val="0"/>
                <w:szCs w:val="24"/>
              </w:rPr>
              <w:t>與團隊合作</w:t>
            </w:r>
          </w:p>
          <w:p w14:paraId="0E3E9228" w14:textId="287A38C5" w:rsidR="00D80896" w:rsidRPr="00355F98" w:rsidRDefault="00D80896" w:rsidP="00D80896">
            <w:r w:rsidRPr="00D80896">
              <w:rPr>
                <w:rFonts w:ascii="標楷體" w:eastAsia="標楷體" w:hAnsi="標楷體" w:cs="新細明體" w:hint="eastAsia"/>
                <w:b/>
                <w:kern w:val="0"/>
                <w:szCs w:val="24"/>
              </w:rPr>
              <w:t xml:space="preserve">■ </w:t>
            </w:r>
            <w:r w:rsidRPr="00D80896">
              <w:rPr>
                <w:rFonts w:ascii="標楷體" w:eastAsia="標楷體" w:hAnsi="標楷體" w:cs="新細明體" w:hint="eastAsia"/>
                <w:kern w:val="0"/>
                <w:szCs w:val="24"/>
              </w:rPr>
              <w:t>C3</w:t>
            </w:r>
            <w:r w:rsidRPr="00D80896">
              <w:rPr>
                <w:rFonts w:ascii="標楷體" w:eastAsia="標楷體" w:hAnsi="標楷體" w:cs="Times New Roman" w:hint="eastAsia"/>
                <w:kern w:val="0"/>
                <w:szCs w:val="24"/>
              </w:rPr>
              <w:t>多元文化</w:t>
            </w:r>
            <w:r w:rsidRPr="00D80896">
              <w:rPr>
                <w:rFonts w:ascii="標楷體" w:eastAsia="標楷體" w:hAnsi="標楷體" w:cs="新細明體" w:hint="eastAsia"/>
                <w:kern w:val="0"/>
                <w:szCs w:val="24"/>
              </w:rPr>
              <w:t>與國際理解</w:t>
            </w:r>
          </w:p>
        </w:tc>
      </w:tr>
      <w:tr w:rsidR="00D80896" w14:paraId="00883AD1" w14:textId="77777777" w:rsidTr="00D80896">
        <w:tc>
          <w:tcPr>
            <w:tcW w:w="1766" w:type="dxa"/>
            <w:tcBorders>
              <w:top w:val="single" w:sz="12" w:space="0" w:color="auto"/>
              <w:left w:val="single" w:sz="12" w:space="0" w:color="auto"/>
              <w:bottom w:val="single" w:sz="12" w:space="0" w:color="auto"/>
              <w:right w:val="single" w:sz="12" w:space="0" w:color="auto"/>
            </w:tcBorders>
            <w:vAlign w:val="center"/>
          </w:tcPr>
          <w:p w14:paraId="5CDF5B83" w14:textId="280142C1" w:rsidR="00D80896" w:rsidRPr="00D80896" w:rsidRDefault="00D80896" w:rsidP="00D80896">
            <w:pPr>
              <w:jc w:val="center"/>
              <w:rPr>
                <w:rFonts w:ascii="標楷體" w:eastAsia="標楷體" w:hAnsi="標楷體" w:cs="標楷體"/>
                <w:kern w:val="0"/>
                <w:szCs w:val="24"/>
              </w:rPr>
            </w:pPr>
            <w:r w:rsidRPr="00D80896">
              <w:rPr>
                <w:rFonts w:ascii="標楷體" w:eastAsia="標楷體" w:hAnsi="標楷體" w:cs="標楷體"/>
                <w:kern w:val="0"/>
                <w:szCs w:val="24"/>
              </w:rPr>
              <w:t>學習領域核心素養</w:t>
            </w:r>
          </w:p>
        </w:tc>
        <w:tc>
          <w:tcPr>
            <w:tcW w:w="8916" w:type="dxa"/>
            <w:tcBorders>
              <w:top w:val="single" w:sz="12" w:space="0" w:color="auto"/>
              <w:left w:val="single" w:sz="12" w:space="0" w:color="auto"/>
              <w:bottom w:val="single" w:sz="12" w:space="0" w:color="auto"/>
              <w:right w:val="single" w:sz="12" w:space="0" w:color="auto"/>
            </w:tcBorders>
          </w:tcPr>
          <w:p w14:paraId="4C239D3C"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自</w:t>
            </w:r>
            <w:r w:rsidRPr="00D80896">
              <w:rPr>
                <w:rFonts w:ascii="標楷體" w:eastAsia="標楷體" w:hAnsi="標楷體" w:cs="標楷體"/>
                <w:kern w:val="0"/>
                <w:szCs w:val="24"/>
              </w:rPr>
              <w:t>-J-A1</w:t>
            </w:r>
            <w:r w:rsidRPr="00D80896">
              <w:rPr>
                <w:rFonts w:ascii="標楷體" w:eastAsia="標楷體" w:hAnsi="標楷體" w:cs="標楷體" w:hint="eastAsia"/>
                <w:kern w:val="0"/>
                <w:szCs w:val="24"/>
              </w:rPr>
              <w:t>能應用科學知識、方法與態度於日常生活當中。</w:t>
            </w:r>
          </w:p>
          <w:p w14:paraId="0D53E8BB"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自</w:t>
            </w:r>
            <w:r w:rsidRPr="00D80896">
              <w:rPr>
                <w:rFonts w:ascii="標楷體" w:eastAsia="標楷體" w:hAnsi="標楷體" w:cs="標楷體"/>
                <w:kern w:val="0"/>
                <w:szCs w:val="24"/>
              </w:rPr>
              <w:t>-J-A2</w:t>
            </w:r>
            <w:r w:rsidRPr="00D80896">
              <w:rPr>
                <w:rFonts w:ascii="標楷體" w:eastAsia="標楷體" w:hAnsi="標楷體" w:cs="標楷體" w:hint="eastAsia"/>
                <w:kern w:val="0"/>
                <w:szCs w:val="24"/>
              </w:rPr>
              <w:t>能將所習得的科學知識，連結到自己觀察到的自然現象及實驗數據，學習自我或團體探索證據、回應多元觀點，並能對問題、方法、資訊或數據的可信性抱持合理的懷疑態度或進行檢核，提出問題可能的解決方案。</w:t>
            </w:r>
          </w:p>
          <w:p w14:paraId="671410EB"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自-J-A3具備從日常生活經驗中找出問題，並能根據問題特性、資源等因素，善用生活週遭的物品、器材儀器、科技設備及資源，規劃自然科學探究活動。</w:t>
            </w:r>
          </w:p>
          <w:p w14:paraId="07D9F00D"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自-J-B1能分析歸納、製作圖表、使用資訊及數學運算等方法，整理自然科學資訊或數據，並利用口語、影像、文字與圖案、繪圖或實物、科學名詞、數學公式、模型等，表達探究之過程、發現與成果、價值和限制等。</w:t>
            </w:r>
          </w:p>
          <w:p w14:paraId="4EDACCAF"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自-J-B2能操作適合學習階段的科技設備與資源，並從學習活動、日常經驗及科技運用、自然環境、書刊及網路</w:t>
            </w:r>
          </w:p>
          <w:p w14:paraId="3AEB24A0"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媒體中，培養相關倫理與分辨資訊之可信程度及進行各種有計畫的觀察，以獲得有助於探究和問題解決的資訊。</w:t>
            </w:r>
          </w:p>
          <w:p w14:paraId="69E8D9CD"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自-J-B3透過欣賞山川大地、風雲雨露、河海大洋、日月星辰，體驗自然與生命之美。</w:t>
            </w:r>
          </w:p>
          <w:p w14:paraId="24F878D9"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自-J-C1從日常學習中，主動關心自然環境相關公共議題，尊重生命。</w:t>
            </w:r>
          </w:p>
          <w:p w14:paraId="6B40DB78" w14:textId="77777777" w:rsidR="00D80896" w:rsidRPr="00D80896" w:rsidRDefault="00D80896" w:rsidP="00D80896">
            <w:pPr>
              <w:suppressAutoHyphens/>
              <w:autoSpaceDN w:val="0"/>
              <w:textAlignment w:val="baseline"/>
              <w:rPr>
                <w:rFonts w:ascii="標楷體" w:eastAsia="標楷體" w:hAnsi="標楷體" w:cs="標楷體"/>
                <w:kern w:val="0"/>
                <w:szCs w:val="24"/>
              </w:rPr>
            </w:pPr>
            <w:r w:rsidRPr="00D80896">
              <w:rPr>
                <w:rFonts w:ascii="標楷體" w:eastAsia="標楷體" w:hAnsi="標楷體" w:cs="標楷體" w:hint="eastAsia"/>
                <w:kern w:val="0"/>
                <w:szCs w:val="24"/>
              </w:rPr>
              <w:t>自</w:t>
            </w:r>
            <w:r w:rsidRPr="00D80896">
              <w:rPr>
                <w:rFonts w:ascii="標楷體" w:eastAsia="標楷體" w:hAnsi="標楷體" w:cs="標楷體"/>
                <w:kern w:val="0"/>
                <w:szCs w:val="24"/>
              </w:rPr>
              <w:t>-J-C2</w:t>
            </w:r>
            <w:r w:rsidRPr="00D80896">
              <w:rPr>
                <w:rFonts w:ascii="標楷體" w:eastAsia="標楷體" w:hAnsi="標楷體" w:cs="標楷體" w:hint="eastAsia"/>
                <w:kern w:val="0"/>
                <w:szCs w:val="24"/>
              </w:rPr>
              <w:t>透過合作學習，發展與同儕溝通、共同參與、共同執行及共同發掘科學相關知識與問題解決的能力。</w:t>
            </w:r>
          </w:p>
          <w:p w14:paraId="7FC6967D" w14:textId="3230851A" w:rsidR="00D80896" w:rsidRPr="00D80896" w:rsidRDefault="00D80896" w:rsidP="00D80896">
            <w:pPr>
              <w:suppressAutoHyphens/>
              <w:autoSpaceDE w:val="0"/>
              <w:autoSpaceDN w:val="0"/>
              <w:adjustRightInd w:val="0"/>
              <w:textAlignment w:val="baseline"/>
              <w:rPr>
                <w:rFonts w:ascii="標楷體" w:eastAsia="標楷體" w:hAnsi="標楷體" w:cs="新細明體"/>
                <w:b/>
                <w:kern w:val="0"/>
                <w:szCs w:val="24"/>
              </w:rPr>
            </w:pPr>
            <w:r w:rsidRPr="00D80896">
              <w:rPr>
                <w:rFonts w:ascii="標楷體" w:eastAsia="標楷體" w:hAnsi="標楷體" w:cs="標楷體" w:hint="eastAsia"/>
                <w:kern w:val="0"/>
                <w:szCs w:val="24"/>
              </w:rPr>
              <w:t>自-J-C3透過環境相關議題的學習，能了解全球自然環境具有差異性與互動性，並能發展出自我文化認同與身為地球公民的價值觀。</w:t>
            </w:r>
          </w:p>
        </w:tc>
      </w:tr>
      <w:tr w:rsidR="00D80896" w14:paraId="6A730E90" w14:textId="77777777" w:rsidTr="00D80896">
        <w:tc>
          <w:tcPr>
            <w:tcW w:w="1766" w:type="dxa"/>
            <w:tcBorders>
              <w:top w:val="single" w:sz="12" w:space="0" w:color="auto"/>
              <w:left w:val="single" w:sz="12" w:space="0" w:color="auto"/>
              <w:bottom w:val="single" w:sz="12" w:space="0" w:color="auto"/>
              <w:right w:val="single" w:sz="12" w:space="0" w:color="auto"/>
            </w:tcBorders>
            <w:vAlign w:val="center"/>
          </w:tcPr>
          <w:p w14:paraId="712E6E26" w14:textId="7AC483C1" w:rsidR="00D80896" w:rsidRDefault="00D80896" w:rsidP="00D80896">
            <w:pPr>
              <w:jc w:val="center"/>
            </w:pPr>
            <w:r>
              <w:rPr>
                <w:rFonts w:hint="eastAsia"/>
              </w:rPr>
              <w:t>學年目標</w:t>
            </w:r>
          </w:p>
        </w:tc>
        <w:tc>
          <w:tcPr>
            <w:tcW w:w="8916" w:type="dxa"/>
            <w:tcBorders>
              <w:top w:val="single" w:sz="12" w:space="0" w:color="auto"/>
              <w:left w:val="single" w:sz="12" w:space="0" w:color="auto"/>
              <w:bottom w:val="single" w:sz="12" w:space="0" w:color="auto"/>
              <w:right w:val="single" w:sz="12" w:space="0" w:color="auto"/>
            </w:tcBorders>
          </w:tcPr>
          <w:p w14:paraId="1DA31357" w14:textId="77777777" w:rsidR="00B270D0" w:rsidRPr="00B270D0" w:rsidRDefault="00B270D0" w:rsidP="00AD50A4">
            <w:pPr>
              <w:pStyle w:val="1"/>
              <w:jc w:val="left"/>
              <w:rPr>
                <w:rFonts w:ascii="新細明體" w:eastAsia="新細明體" w:hAnsi="新細明體"/>
                <w:color w:val="000000"/>
                <w:sz w:val="22"/>
                <w:szCs w:val="22"/>
              </w:rPr>
            </w:pPr>
            <w:r w:rsidRPr="00B270D0">
              <w:rPr>
                <w:rFonts w:ascii="新細明體" w:eastAsia="新細明體" w:hAnsi="新細明體" w:hint="eastAsia"/>
                <w:color w:val="000000"/>
                <w:sz w:val="22"/>
                <w:szCs w:val="22"/>
              </w:rPr>
              <w:t>1.探討生物所表現的生命現象。</w:t>
            </w:r>
          </w:p>
          <w:p w14:paraId="1429AF79" w14:textId="77777777" w:rsidR="00B270D0" w:rsidRPr="00B270D0" w:rsidRDefault="00B270D0" w:rsidP="00AD50A4">
            <w:pPr>
              <w:pStyle w:val="1"/>
              <w:jc w:val="left"/>
              <w:rPr>
                <w:rFonts w:ascii="新細明體" w:eastAsia="新細明體" w:hAnsi="新細明體"/>
                <w:color w:val="000000"/>
                <w:sz w:val="22"/>
                <w:szCs w:val="22"/>
              </w:rPr>
            </w:pPr>
            <w:r w:rsidRPr="00B270D0">
              <w:rPr>
                <w:rFonts w:ascii="新細明體" w:eastAsia="新細明體" w:hAnsi="新細明體" w:hint="eastAsia"/>
                <w:color w:val="000000"/>
                <w:sz w:val="22"/>
                <w:szCs w:val="22"/>
              </w:rPr>
              <w:t>2.了解人體各器官與器官系統的作用。</w:t>
            </w:r>
          </w:p>
          <w:p w14:paraId="1E3D77A5" w14:textId="77777777" w:rsidR="00B270D0" w:rsidRPr="00B270D0" w:rsidRDefault="00B270D0" w:rsidP="00AD50A4">
            <w:pPr>
              <w:pStyle w:val="1"/>
              <w:jc w:val="left"/>
              <w:rPr>
                <w:rFonts w:ascii="新細明體" w:eastAsia="新細明體" w:hAnsi="新細明體"/>
                <w:color w:val="000000"/>
                <w:sz w:val="22"/>
                <w:szCs w:val="22"/>
              </w:rPr>
            </w:pPr>
            <w:r w:rsidRPr="00B270D0">
              <w:rPr>
                <w:rFonts w:ascii="新細明體" w:eastAsia="新細明體" w:hAnsi="新細明體" w:hint="eastAsia"/>
                <w:color w:val="000000"/>
                <w:sz w:val="22"/>
                <w:szCs w:val="22"/>
              </w:rPr>
              <w:t>3.學習運用科學方法解決問題。</w:t>
            </w:r>
          </w:p>
          <w:p w14:paraId="1D4490C8" w14:textId="3723C1BE" w:rsidR="00D80896" w:rsidRPr="004D15D7" w:rsidRDefault="00B270D0" w:rsidP="00AD50A4">
            <w:pPr>
              <w:rPr>
                <w:rFonts w:ascii="新細明體" w:eastAsia="新細明體" w:hAnsi="新細明體"/>
                <w:color w:val="000000"/>
                <w:sz w:val="22"/>
              </w:rPr>
            </w:pPr>
            <w:r w:rsidRPr="00B270D0">
              <w:rPr>
                <w:rFonts w:ascii="新細明體" w:eastAsia="新細明體" w:hAnsi="新細明體" w:hint="eastAsia"/>
                <w:color w:val="000000"/>
                <w:sz w:val="22"/>
              </w:rPr>
              <w:t>4.科學素養實踐。</w:t>
            </w:r>
          </w:p>
        </w:tc>
      </w:tr>
      <w:tr w:rsidR="00D80896" w14:paraId="54014611" w14:textId="77777777" w:rsidTr="00D80896">
        <w:tc>
          <w:tcPr>
            <w:tcW w:w="1766" w:type="dxa"/>
            <w:tcBorders>
              <w:top w:val="single" w:sz="12" w:space="0" w:color="auto"/>
              <w:left w:val="single" w:sz="12" w:space="0" w:color="auto"/>
              <w:bottom w:val="single" w:sz="12" w:space="0" w:color="auto"/>
              <w:right w:val="single" w:sz="12" w:space="0" w:color="auto"/>
            </w:tcBorders>
            <w:vAlign w:val="center"/>
          </w:tcPr>
          <w:p w14:paraId="150ED9A1" w14:textId="79CA042B" w:rsidR="00D80896" w:rsidRDefault="00D80896" w:rsidP="00D80896">
            <w:pPr>
              <w:jc w:val="center"/>
            </w:pPr>
            <w:r>
              <w:rPr>
                <w:rFonts w:hint="eastAsia"/>
              </w:rPr>
              <w:t>學習架構</w:t>
            </w:r>
          </w:p>
        </w:tc>
        <w:tc>
          <w:tcPr>
            <w:tcW w:w="8916" w:type="dxa"/>
            <w:tcBorders>
              <w:top w:val="single" w:sz="12" w:space="0" w:color="auto"/>
              <w:left w:val="single" w:sz="12" w:space="0" w:color="auto"/>
              <w:bottom w:val="single" w:sz="12" w:space="0" w:color="auto"/>
              <w:right w:val="single" w:sz="12" w:space="0" w:color="auto"/>
            </w:tcBorders>
          </w:tcPr>
          <w:p w14:paraId="75BFA3F1" w14:textId="12281B44" w:rsidR="00D80896" w:rsidRPr="004D15D7" w:rsidRDefault="00D80896" w:rsidP="00D80896">
            <w:pPr>
              <w:pStyle w:val="1"/>
              <w:jc w:val="left"/>
              <w:rPr>
                <w:rFonts w:ascii="新細明體" w:eastAsia="新細明體" w:hAnsi="新細明體"/>
                <w:color w:val="000000"/>
                <w:sz w:val="22"/>
                <w:szCs w:val="22"/>
              </w:rPr>
            </w:pPr>
            <w:r>
              <w:rPr>
                <w:rFonts w:ascii="新細明體" w:eastAsia="新細明體" w:hAnsi="新細明體"/>
                <w:noProof/>
                <w:color w:val="000000"/>
                <w:sz w:val="22"/>
                <w:szCs w:val="22"/>
              </w:rPr>
              <w:drawing>
                <wp:inline distT="0" distB="0" distL="0" distR="0" wp14:anchorId="6BFBBF91" wp14:editId="1B4EC3CD">
                  <wp:extent cx="5494020" cy="1318260"/>
                  <wp:effectExtent l="38100" t="0" r="30480" b="0"/>
                  <wp:docPr id="67" name="資料庫圖表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r>
    </w:tbl>
    <w:p w14:paraId="5EF5205A" w14:textId="18B7E1C5" w:rsidR="00546828" w:rsidRDefault="00546828" w:rsidP="00D23445"/>
    <w:tbl>
      <w:tblPr>
        <w:tblStyle w:val="a3"/>
        <w:tblW w:w="0" w:type="auto"/>
        <w:tblLook w:val="04A0" w:firstRow="1" w:lastRow="0" w:firstColumn="1" w:lastColumn="0" w:noHBand="0" w:noVBand="1"/>
      </w:tblPr>
      <w:tblGrid>
        <w:gridCol w:w="1363"/>
        <w:gridCol w:w="2647"/>
        <w:gridCol w:w="1827"/>
        <w:gridCol w:w="1256"/>
        <w:gridCol w:w="3343"/>
      </w:tblGrid>
      <w:tr w:rsidR="004741AD" w14:paraId="7B27911A" w14:textId="77777777" w:rsidTr="006C0F25">
        <w:tc>
          <w:tcPr>
            <w:tcW w:w="1384" w:type="dxa"/>
            <w:tcBorders>
              <w:top w:val="single" w:sz="12" w:space="0" w:color="auto"/>
              <w:left w:val="single" w:sz="12" w:space="0" w:color="auto"/>
              <w:bottom w:val="single" w:sz="12" w:space="0" w:color="auto"/>
              <w:right w:val="single" w:sz="12" w:space="0" w:color="auto"/>
            </w:tcBorders>
          </w:tcPr>
          <w:p w14:paraId="10428F7B" w14:textId="77777777" w:rsidR="004741AD" w:rsidRDefault="004741AD" w:rsidP="004741AD">
            <w:pPr>
              <w:jc w:val="center"/>
            </w:pPr>
            <w:r>
              <w:rPr>
                <w:rFonts w:hint="eastAsia"/>
              </w:rPr>
              <w:t>領域</w:t>
            </w:r>
          </w:p>
        </w:tc>
        <w:tc>
          <w:tcPr>
            <w:tcW w:w="2693" w:type="dxa"/>
            <w:tcBorders>
              <w:top w:val="single" w:sz="12" w:space="0" w:color="auto"/>
              <w:left w:val="single" w:sz="12" w:space="0" w:color="auto"/>
              <w:bottom w:val="single" w:sz="12" w:space="0" w:color="auto"/>
              <w:right w:val="single" w:sz="12" w:space="0" w:color="auto"/>
            </w:tcBorders>
          </w:tcPr>
          <w:p w14:paraId="64872844" w14:textId="5C8E3673" w:rsidR="004741AD" w:rsidRDefault="004741AD" w:rsidP="004741AD">
            <w:pPr>
              <w:jc w:val="center"/>
            </w:pPr>
            <w:r>
              <w:rPr>
                <w:rFonts w:hint="eastAsia"/>
              </w:rPr>
              <w:t>自然與生活科技</w:t>
            </w:r>
            <w:r>
              <w:rPr>
                <w:rFonts w:hint="eastAsia"/>
              </w:rPr>
              <w:t>(</w:t>
            </w:r>
            <w:r w:rsidR="00B15337">
              <w:rPr>
                <w:rFonts w:hint="eastAsia"/>
              </w:rPr>
              <w:t>生物</w:t>
            </w:r>
            <w:r>
              <w:rPr>
                <w:rFonts w:hint="eastAsia"/>
              </w:rPr>
              <w:t>)</w:t>
            </w:r>
          </w:p>
        </w:tc>
        <w:tc>
          <w:tcPr>
            <w:tcW w:w="1843" w:type="dxa"/>
            <w:tcBorders>
              <w:top w:val="single" w:sz="12" w:space="0" w:color="auto"/>
              <w:left w:val="single" w:sz="12" w:space="0" w:color="auto"/>
              <w:bottom w:val="single" w:sz="12" w:space="0" w:color="auto"/>
              <w:right w:val="single" w:sz="12" w:space="0" w:color="auto"/>
            </w:tcBorders>
          </w:tcPr>
          <w:p w14:paraId="30209697" w14:textId="77777777" w:rsidR="004741AD" w:rsidRDefault="004741AD" w:rsidP="004741AD">
            <w:pPr>
              <w:jc w:val="center"/>
            </w:pPr>
            <w:r>
              <w:rPr>
                <w:rFonts w:hint="eastAsia"/>
              </w:rPr>
              <w:t>授課教師</w:t>
            </w:r>
          </w:p>
        </w:tc>
        <w:tc>
          <w:tcPr>
            <w:tcW w:w="4677" w:type="dxa"/>
            <w:gridSpan w:val="2"/>
            <w:tcBorders>
              <w:top w:val="single" w:sz="12" w:space="0" w:color="auto"/>
              <w:left w:val="single" w:sz="12" w:space="0" w:color="auto"/>
              <w:bottom w:val="single" w:sz="12" w:space="0" w:color="auto"/>
              <w:right w:val="single" w:sz="12" w:space="0" w:color="auto"/>
            </w:tcBorders>
          </w:tcPr>
          <w:p w14:paraId="6D3DE92F" w14:textId="40AAAD7C" w:rsidR="004741AD" w:rsidRDefault="00546828" w:rsidP="004741AD">
            <w:pPr>
              <w:jc w:val="center"/>
            </w:pPr>
            <w:r>
              <w:rPr>
                <w:rFonts w:hint="eastAsia"/>
              </w:rPr>
              <w:t>廖雲娥</w:t>
            </w:r>
            <w:r w:rsidR="00E53F73">
              <w:rPr>
                <w:rFonts w:hint="eastAsia"/>
              </w:rPr>
              <w:t xml:space="preserve"> </w:t>
            </w:r>
            <w:r w:rsidR="00E53F73">
              <w:rPr>
                <w:rFonts w:hint="eastAsia"/>
              </w:rPr>
              <w:t>老師</w:t>
            </w:r>
          </w:p>
        </w:tc>
      </w:tr>
      <w:tr w:rsidR="004741AD" w14:paraId="6821A912" w14:textId="77777777" w:rsidTr="006C0F25">
        <w:tc>
          <w:tcPr>
            <w:tcW w:w="1384" w:type="dxa"/>
            <w:tcBorders>
              <w:top w:val="single" w:sz="12" w:space="0" w:color="auto"/>
              <w:bottom w:val="single" w:sz="4" w:space="0" w:color="auto"/>
            </w:tcBorders>
            <w:vAlign w:val="center"/>
          </w:tcPr>
          <w:p w14:paraId="37F69B57" w14:textId="77777777" w:rsidR="004741AD" w:rsidRDefault="004741AD" w:rsidP="00941DF3">
            <w:pPr>
              <w:jc w:val="center"/>
            </w:pPr>
            <w:r>
              <w:rPr>
                <w:rFonts w:hint="eastAsia"/>
              </w:rPr>
              <w:t>項次</w:t>
            </w:r>
          </w:p>
        </w:tc>
        <w:tc>
          <w:tcPr>
            <w:tcW w:w="2693" w:type="dxa"/>
            <w:vAlign w:val="center"/>
          </w:tcPr>
          <w:p w14:paraId="0AB22D0E" w14:textId="77777777" w:rsidR="004741AD" w:rsidRDefault="004741AD" w:rsidP="00941DF3">
            <w:pPr>
              <w:jc w:val="center"/>
            </w:pPr>
            <w:r>
              <w:rPr>
                <w:rFonts w:hint="eastAsia"/>
              </w:rPr>
              <w:t>學習表現</w:t>
            </w:r>
          </w:p>
        </w:tc>
        <w:tc>
          <w:tcPr>
            <w:tcW w:w="1843" w:type="dxa"/>
            <w:tcBorders>
              <w:top w:val="single" w:sz="12" w:space="0" w:color="auto"/>
              <w:bottom w:val="single" w:sz="4" w:space="0" w:color="auto"/>
            </w:tcBorders>
            <w:vAlign w:val="center"/>
          </w:tcPr>
          <w:p w14:paraId="70771A65" w14:textId="77777777" w:rsidR="004741AD" w:rsidRDefault="004741AD" w:rsidP="00941DF3">
            <w:pPr>
              <w:jc w:val="center"/>
            </w:pPr>
            <w:r>
              <w:rPr>
                <w:rFonts w:hint="eastAsia"/>
              </w:rPr>
              <w:t>學習調整</w:t>
            </w:r>
          </w:p>
        </w:tc>
        <w:tc>
          <w:tcPr>
            <w:tcW w:w="1276" w:type="dxa"/>
            <w:tcBorders>
              <w:top w:val="single" w:sz="12" w:space="0" w:color="auto"/>
              <w:bottom w:val="single" w:sz="4" w:space="0" w:color="auto"/>
            </w:tcBorders>
            <w:vAlign w:val="center"/>
          </w:tcPr>
          <w:p w14:paraId="243C8A42" w14:textId="77777777" w:rsidR="004741AD" w:rsidRDefault="004741AD" w:rsidP="00941DF3">
            <w:pPr>
              <w:jc w:val="center"/>
            </w:pPr>
            <w:r>
              <w:rPr>
                <w:rFonts w:hint="eastAsia"/>
              </w:rPr>
              <w:t>評量方式</w:t>
            </w:r>
          </w:p>
        </w:tc>
        <w:tc>
          <w:tcPr>
            <w:tcW w:w="3401" w:type="dxa"/>
            <w:tcBorders>
              <w:top w:val="single" w:sz="12" w:space="0" w:color="auto"/>
              <w:bottom w:val="single" w:sz="4" w:space="0" w:color="auto"/>
            </w:tcBorders>
            <w:vAlign w:val="center"/>
          </w:tcPr>
          <w:p w14:paraId="4190B94D" w14:textId="77777777" w:rsidR="004741AD" w:rsidRDefault="004741AD" w:rsidP="00941DF3">
            <w:pPr>
              <w:jc w:val="center"/>
            </w:pPr>
            <w:r>
              <w:rPr>
                <w:rFonts w:hint="eastAsia"/>
              </w:rPr>
              <w:t>評量結果</w:t>
            </w:r>
          </w:p>
        </w:tc>
      </w:tr>
      <w:tr w:rsidR="004741AD" w14:paraId="4559FFC7" w14:textId="77777777" w:rsidTr="006C0F25">
        <w:tc>
          <w:tcPr>
            <w:tcW w:w="1384" w:type="dxa"/>
            <w:tcBorders>
              <w:top w:val="single" w:sz="4" w:space="0" w:color="auto"/>
              <w:bottom w:val="single" w:sz="4" w:space="0" w:color="auto"/>
            </w:tcBorders>
            <w:vAlign w:val="center"/>
          </w:tcPr>
          <w:p w14:paraId="27B1CE42" w14:textId="77777777" w:rsidR="004741AD" w:rsidRDefault="004741AD" w:rsidP="00941DF3">
            <w:pPr>
              <w:jc w:val="center"/>
              <w:rPr>
                <w:sz w:val="36"/>
              </w:rPr>
            </w:pPr>
            <w:r w:rsidRPr="00941DF3">
              <w:rPr>
                <w:rFonts w:hint="eastAsia"/>
                <w:sz w:val="36"/>
              </w:rPr>
              <w:t>1</w:t>
            </w:r>
          </w:p>
          <w:p w14:paraId="6E5FF92B" w14:textId="3D91A27C" w:rsidR="00334AD2" w:rsidRPr="00941DF3" w:rsidRDefault="00344828" w:rsidP="00941DF3">
            <w:pPr>
              <w:jc w:val="center"/>
              <w:rPr>
                <w:sz w:val="36"/>
              </w:rPr>
            </w:pPr>
            <w:r w:rsidRPr="00344828">
              <w:rPr>
                <w:rFonts w:hint="eastAsia"/>
                <w:sz w:val="36"/>
              </w:rPr>
              <w:t>新生命的誕生</w:t>
            </w:r>
          </w:p>
        </w:tc>
        <w:tc>
          <w:tcPr>
            <w:tcW w:w="2693" w:type="dxa"/>
          </w:tcPr>
          <w:p w14:paraId="16809066" w14:textId="0FB8A51F" w:rsidR="00FF4BA9" w:rsidRPr="00851282" w:rsidRDefault="00FF4BA9" w:rsidP="00103984">
            <w:pPr>
              <w:spacing w:line="240" w:lineRule="exact"/>
              <w:rPr>
                <w:rFonts w:ascii="標楷體" w:eastAsia="標楷體" w:hAnsi="標楷體"/>
                <w:sz w:val="20"/>
                <w:szCs w:val="20"/>
              </w:rPr>
            </w:pPr>
            <w:r w:rsidRPr="00851282">
              <w:rPr>
                <w:rFonts w:ascii="標楷體" w:eastAsia="標楷體" w:hAnsi="標楷體" w:hint="eastAsia"/>
                <w:sz w:val="20"/>
                <w:szCs w:val="20"/>
              </w:rPr>
              <w:t>an -Ⅳ-2 分辨科學知識的確定性和持久性會因科學研究的時空背景不同而有所變化。</w:t>
            </w:r>
          </w:p>
          <w:p w14:paraId="215EA492" w14:textId="77777777" w:rsidR="00FF4BA9" w:rsidRPr="00851282" w:rsidRDefault="00FF4BA9" w:rsidP="00103984">
            <w:pPr>
              <w:spacing w:line="240" w:lineRule="exact"/>
              <w:rPr>
                <w:rFonts w:ascii="標楷體" w:eastAsia="標楷體" w:hAnsi="標楷體"/>
                <w:sz w:val="20"/>
                <w:szCs w:val="20"/>
              </w:rPr>
            </w:pPr>
            <w:r w:rsidRPr="00851282">
              <w:rPr>
                <w:rFonts w:ascii="標楷體" w:eastAsia="標楷體" w:hAnsi="標楷體"/>
                <w:sz w:val="20"/>
                <w:szCs w:val="20"/>
              </w:rPr>
              <w:t>an -Ⅳ-3 體察到科學家們具有堅毅、嚴謹和講求邏輯的特質，也具有好奇心、求知慾和想像力。</w:t>
            </w:r>
          </w:p>
          <w:p w14:paraId="404CCE17" w14:textId="03617021" w:rsidR="00FF4BA9" w:rsidRPr="00851282" w:rsidRDefault="00FF4BA9" w:rsidP="00103984">
            <w:pPr>
              <w:spacing w:line="240" w:lineRule="exact"/>
              <w:rPr>
                <w:rFonts w:ascii="標楷體" w:eastAsia="標楷體" w:hAnsi="標楷體"/>
                <w:sz w:val="20"/>
                <w:szCs w:val="20"/>
              </w:rPr>
            </w:pPr>
            <w:r w:rsidRPr="00851282">
              <w:rPr>
                <w:rFonts w:ascii="標楷體" w:eastAsia="標楷體" w:hAnsi="標楷體"/>
                <w:sz w:val="20"/>
                <w:szCs w:val="20"/>
              </w:rPr>
              <w:t>tr-IV-1能將所習得的知識正確的連結到所觀察到的自然現象及實驗數據，並推論出其中的關聯，進而運用習得的知識來解釋自己論點的正確性。</w:t>
            </w:r>
          </w:p>
          <w:p w14:paraId="5D8B2BA2" w14:textId="77777777" w:rsidR="00FF4BA9" w:rsidRPr="00851282" w:rsidRDefault="00FF4BA9" w:rsidP="00103984">
            <w:pPr>
              <w:spacing w:line="240" w:lineRule="exact"/>
              <w:rPr>
                <w:rFonts w:ascii="標楷體" w:eastAsia="標楷體" w:hAnsi="標楷體"/>
                <w:sz w:val="20"/>
                <w:szCs w:val="20"/>
              </w:rPr>
            </w:pPr>
            <w:r w:rsidRPr="00851282">
              <w:rPr>
                <w:rFonts w:ascii="標楷體" w:eastAsia="標楷體" w:hAnsi="標楷體"/>
                <w:sz w:val="20"/>
                <w:szCs w:val="20"/>
              </w:rPr>
              <w:t>po-Ⅳ-1能從學習活動、日常經驗及科技運用、自然環境、書刊及網路媒體中，進行各種有計畫的觀察，進而能察覺問題。</w:t>
            </w:r>
          </w:p>
          <w:p w14:paraId="3F15D98B" w14:textId="77777777" w:rsidR="00FF4BA9" w:rsidRPr="00851282" w:rsidRDefault="00FF4BA9" w:rsidP="00103984">
            <w:pPr>
              <w:spacing w:line="240" w:lineRule="exact"/>
              <w:rPr>
                <w:rFonts w:ascii="標楷體" w:eastAsia="標楷體" w:hAnsi="標楷體"/>
                <w:sz w:val="20"/>
                <w:szCs w:val="20"/>
              </w:rPr>
            </w:pPr>
            <w:r w:rsidRPr="00851282">
              <w:rPr>
                <w:rFonts w:ascii="標楷體" w:eastAsia="標楷體" w:hAnsi="標楷體"/>
                <w:sz w:val="20"/>
                <w:szCs w:val="20"/>
              </w:rPr>
              <w:t>po-</w:t>
            </w:r>
            <w:r w:rsidRPr="00851282">
              <w:rPr>
                <w:rFonts w:ascii="標楷體" w:eastAsia="標楷體" w:hAnsi="標楷體" w:cs="細明體" w:hint="eastAsia"/>
                <w:sz w:val="20"/>
                <w:szCs w:val="20"/>
              </w:rPr>
              <w:t>Ⅳ</w:t>
            </w:r>
            <w:r w:rsidRPr="00851282">
              <w:rPr>
                <w:rFonts w:ascii="標楷體" w:eastAsia="標楷體" w:hAnsi="標楷體"/>
                <w:sz w:val="20"/>
                <w:szCs w:val="20"/>
              </w:rPr>
              <w:t>-2能辨別適合科學探究或適合以科學方式尋求解決的問題（或假說），並能依據觀察、蒐集資料、閱讀、思考、討論等，提出適宜探究之問題。</w:t>
            </w:r>
          </w:p>
          <w:p w14:paraId="6CA63BB0" w14:textId="44476E5B" w:rsidR="00FF4BA9" w:rsidRPr="00851282" w:rsidRDefault="00FF4BA9" w:rsidP="00103984">
            <w:pPr>
              <w:spacing w:line="240" w:lineRule="exact"/>
              <w:rPr>
                <w:rFonts w:ascii="標楷體" w:eastAsia="標楷體" w:hAnsi="標楷體"/>
                <w:sz w:val="20"/>
                <w:szCs w:val="20"/>
              </w:rPr>
            </w:pPr>
            <w:r w:rsidRPr="00851282">
              <w:rPr>
                <w:rFonts w:ascii="標楷體" w:eastAsia="標楷體" w:hAnsi="標楷體"/>
                <w:sz w:val="20"/>
                <w:szCs w:val="20"/>
              </w:rPr>
              <w:t>pe-</w:t>
            </w:r>
            <w:r w:rsidRPr="00851282">
              <w:rPr>
                <w:rFonts w:ascii="標楷體" w:eastAsia="標楷體" w:hAnsi="標楷體" w:cs="細明體" w:hint="eastAsia"/>
                <w:sz w:val="20"/>
                <w:szCs w:val="20"/>
              </w:rPr>
              <w:t>Ⅳ</w:t>
            </w:r>
            <w:r w:rsidRPr="00851282">
              <w:rPr>
                <w:rFonts w:ascii="標楷體" w:eastAsia="標楷體" w:hAnsi="標楷體"/>
                <w:sz w:val="20"/>
                <w:szCs w:val="20"/>
              </w:rPr>
              <w:t>-2能正確安全操作適合學習階段的物品、器材儀器、科技設備與資源。能進行客觀的質性觀察或數值量測並詳實記錄。</w:t>
            </w:r>
          </w:p>
          <w:p w14:paraId="4BE9E135"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sz w:val="20"/>
                <w:szCs w:val="20"/>
              </w:rPr>
              <w:t>pc-</w:t>
            </w:r>
            <w:r w:rsidRPr="00851282">
              <w:rPr>
                <w:rFonts w:ascii="標楷體" w:eastAsia="標楷體" w:hAnsi="標楷體" w:hint="eastAsia"/>
                <w:sz w:val="20"/>
                <w:szCs w:val="20"/>
              </w:rPr>
              <w:t>Ⅳ</w:t>
            </w:r>
            <w:r w:rsidRPr="00851282">
              <w:rPr>
                <w:rFonts w:ascii="標楷體" w:eastAsia="標楷體" w:hAnsi="標楷體"/>
                <w:sz w:val="20"/>
                <w:szCs w:val="20"/>
              </w:rPr>
              <w:t>-1</w:t>
            </w:r>
            <w:r w:rsidRPr="00851282">
              <w:rPr>
                <w:rFonts w:ascii="標楷體" w:eastAsia="標楷體" w:hAnsi="標楷體" w:hint="eastAsia"/>
                <w:sz w:val="20"/>
                <w:szCs w:val="20"/>
              </w:rPr>
              <w:t>能理解同學的探究過程和結果（或經簡化過的科學報告），提出合理而且具有根據的疑問或意見。並能對問題、探究方法、證據及發現，彼此間的符應情形，進行檢核並提出可能的改善方案。</w:t>
            </w:r>
          </w:p>
          <w:p w14:paraId="6671852B"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hint="eastAsia"/>
                <w:sz w:val="20"/>
                <w:szCs w:val="20"/>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14:paraId="2C0EB770"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sz w:val="20"/>
                <w:szCs w:val="20"/>
              </w:rPr>
              <w:t>ti-IV-1</w:t>
            </w:r>
            <w:r w:rsidRPr="00851282">
              <w:rPr>
                <w:rFonts w:ascii="標楷體" w:eastAsia="標楷體" w:hAnsi="標楷體" w:hint="eastAsia"/>
                <w:sz w:val="20"/>
                <w:szCs w:val="20"/>
              </w:rPr>
              <w:t>能依據已知的自然科學知識概念，經由自我或團體探索與討論的過程，想像當使用的觀察方法或實驗方法改變時，其結果可能產生的差異；並能嘗試在指導下以創新思考和方法得到新的模型、成品或結果。</w:t>
            </w:r>
          </w:p>
          <w:p w14:paraId="042F7C00" w14:textId="77777777" w:rsidR="00B15337" w:rsidRPr="00851282" w:rsidRDefault="00B15337" w:rsidP="00B50047">
            <w:pPr>
              <w:rPr>
                <w:rFonts w:ascii="標楷體" w:eastAsia="標楷體" w:hAnsi="標楷體"/>
                <w:sz w:val="20"/>
                <w:szCs w:val="20"/>
              </w:rPr>
            </w:pPr>
          </w:p>
          <w:p w14:paraId="1D57B3D1" w14:textId="1116BF56" w:rsidR="00103984" w:rsidRPr="00851282" w:rsidRDefault="00103984" w:rsidP="00B50047">
            <w:pPr>
              <w:rPr>
                <w:rFonts w:ascii="標楷體" w:eastAsia="標楷體" w:hAnsi="標楷體"/>
                <w:sz w:val="20"/>
                <w:szCs w:val="20"/>
              </w:rPr>
            </w:pPr>
          </w:p>
        </w:tc>
        <w:tc>
          <w:tcPr>
            <w:tcW w:w="1843" w:type="dxa"/>
            <w:tcBorders>
              <w:top w:val="single" w:sz="4" w:space="0" w:color="auto"/>
              <w:bottom w:val="single" w:sz="4" w:space="0" w:color="auto"/>
            </w:tcBorders>
            <w:vAlign w:val="center"/>
          </w:tcPr>
          <w:p w14:paraId="489A0F66" w14:textId="77777777" w:rsidR="002C66D6" w:rsidRDefault="00941DF3" w:rsidP="002C66D6">
            <w:pPr>
              <w:jc w:val="center"/>
            </w:pPr>
            <w:r>
              <w:rPr>
                <w:rFonts w:asciiTheme="minorEastAsia" w:hAnsiTheme="minorEastAsia" w:hint="eastAsia"/>
              </w:rPr>
              <w:t>▓</w:t>
            </w:r>
            <w:r w:rsidR="002C66D6">
              <w:rPr>
                <w:rFonts w:hint="eastAsia"/>
              </w:rPr>
              <w:t>加深</w:t>
            </w:r>
          </w:p>
          <w:p w14:paraId="594D97EA" w14:textId="77777777" w:rsidR="002C66D6" w:rsidRDefault="00941DF3" w:rsidP="002C66D6">
            <w:pPr>
              <w:jc w:val="center"/>
            </w:pPr>
            <w:r>
              <w:rPr>
                <w:rFonts w:asciiTheme="minorEastAsia" w:hAnsiTheme="minorEastAsia" w:hint="eastAsia"/>
              </w:rPr>
              <w:t>▓</w:t>
            </w:r>
            <w:r w:rsidR="002C66D6">
              <w:rPr>
                <w:rFonts w:hint="eastAsia"/>
              </w:rPr>
              <w:t>加廣</w:t>
            </w:r>
          </w:p>
          <w:p w14:paraId="3EEF3834" w14:textId="77777777" w:rsidR="004741AD" w:rsidRDefault="002C66D6" w:rsidP="002C66D6">
            <w:pPr>
              <w:jc w:val="center"/>
            </w:pPr>
            <w:r>
              <w:rPr>
                <w:rFonts w:asciiTheme="minorEastAsia" w:hAnsiTheme="minorEastAsia" w:hint="eastAsia"/>
              </w:rPr>
              <w:t>□</w:t>
            </w:r>
            <w:r>
              <w:rPr>
                <w:rFonts w:hint="eastAsia"/>
              </w:rPr>
              <w:t>加速</w:t>
            </w:r>
          </w:p>
          <w:p w14:paraId="4FB2A909" w14:textId="77777777" w:rsidR="00B15337" w:rsidRDefault="00B15337" w:rsidP="002C66D6">
            <w:pPr>
              <w:jc w:val="center"/>
            </w:pPr>
          </w:p>
          <w:p w14:paraId="7391575E" w14:textId="77777777" w:rsidR="000D6EF7" w:rsidRDefault="00B15337" w:rsidP="002C66D6">
            <w:pPr>
              <w:jc w:val="center"/>
            </w:pPr>
            <w:r>
              <w:rPr>
                <w:rFonts w:hint="eastAsia"/>
              </w:rPr>
              <w:t>補充實驗：</w:t>
            </w:r>
          </w:p>
          <w:p w14:paraId="1D659BF9" w14:textId="77777777" w:rsidR="00AD50A4" w:rsidRDefault="000D6EF7" w:rsidP="002C66D6">
            <w:pPr>
              <w:jc w:val="center"/>
            </w:pPr>
            <w:r>
              <w:rPr>
                <w:rFonts w:hint="eastAsia"/>
              </w:rPr>
              <w:t>複式顯微鏡</w:t>
            </w:r>
            <w:r w:rsidR="00B15337">
              <w:rPr>
                <w:rFonts w:hint="eastAsia"/>
              </w:rPr>
              <w:t>與</w:t>
            </w:r>
            <w:r>
              <w:rPr>
                <w:rFonts w:hint="eastAsia"/>
              </w:rPr>
              <w:t>解剖顯微鏡</w:t>
            </w:r>
            <w:r w:rsidR="00AD50A4">
              <w:rPr>
                <w:rFonts w:hint="eastAsia"/>
              </w:rPr>
              <w:t>操作</w:t>
            </w:r>
          </w:p>
          <w:p w14:paraId="28A12E5D" w14:textId="77777777" w:rsidR="00B15337" w:rsidRDefault="00AD50A4" w:rsidP="002C66D6">
            <w:pPr>
              <w:jc w:val="center"/>
            </w:pPr>
            <w:r>
              <w:rPr>
                <w:rFonts w:hint="eastAsia"/>
              </w:rPr>
              <w:t>孑孓觀察</w:t>
            </w:r>
          </w:p>
          <w:p w14:paraId="10C9E060" w14:textId="2E5ABEF6" w:rsidR="00AD50A4" w:rsidRDefault="00AD50A4" w:rsidP="002C66D6">
            <w:pPr>
              <w:jc w:val="center"/>
            </w:pPr>
            <w:r>
              <w:rPr>
                <w:rFonts w:hint="eastAsia"/>
              </w:rPr>
              <w:t>水蘊草觀察</w:t>
            </w:r>
          </w:p>
        </w:tc>
        <w:tc>
          <w:tcPr>
            <w:tcW w:w="1276" w:type="dxa"/>
            <w:tcBorders>
              <w:top w:val="single" w:sz="4" w:space="0" w:color="auto"/>
              <w:bottom w:val="single" w:sz="4" w:space="0" w:color="auto"/>
            </w:tcBorders>
            <w:vAlign w:val="center"/>
          </w:tcPr>
          <w:p w14:paraId="2BB179B9" w14:textId="77777777" w:rsidR="004741AD" w:rsidRDefault="002C66D6" w:rsidP="002C66D6">
            <w:pPr>
              <w:jc w:val="center"/>
            </w:pPr>
            <w:r>
              <w:rPr>
                <w:rFonts w:hint="eastAsia"/>
              </w:rPr>
              <w:t>口頭發表</w:t>
            </w:r>
          </w:p>
          <w:p w14:paraId="5297868C" w14:textId="696ED827" w:rsidR="002C66D6" w:rsidRDefault="002C66D6" w:rsidP="002C66D6">
            <w:pPr>
              <w:jc w:val="center"/>
            </w:pPr>
            <w:r>
              <w:rPr>
                <w:rFonts w:hint="eastAsia"/>
              </w:rPr>
              <w:t>實驗</w:t>
            </w:r>
            <w:r w:rsidR="000D6EF7">
              <w:rPr>
                <w:rFonts w:hint="eastAsia"/>
              </w:rPr>
              <w:t>操作</w:t>
            </w:r>
          </w:p>
          <w:p w14:paraId="1A11889F" w14:textId="77777777" w:rsidR="002C66D6" w:rsidRDefault="002C66D6" w:rsidP="002C66D6">
            <w:pPr>
              <w:jc w:val="center"/>
            </w:pPr>
            <w:r>
              <w:rPr>
                <w:rFonts w:hint="eastAsia"/>
              </w:rPr>
              <w:t>紙筆測驗</w:t>
            </w:r>
          </w:p>
        </w:tc>
        <w:tc>
          <w:tcPr>
            <w:tcW w:w="3401" w:type="dxa"/>
            <w:tcBorders>
              <w:top w:val="single" w:sz="4" w:space="0" w:color="auto"/>
              <w:bottom w:val="single" w:sz="4" w:space="0" w:color="auto"/>
            </w:tcBorders>
            <w:vAlign w:val="center"/>
          </w:tcPr>
          <w:p w14:paraId="0BC4A268" w14:textId="237C75C7" w:rsidR="000D6EF7" w:rsidRPr="00E53F73" w:rsidRDefault="00103984" w:rsidP="00103984">
            <w:pPr>
              <w:pStyle w:val="a8"/>
              <w:tabs>
                <w:tab w:val="left" w:pos="175"/>
              </w:tabs>
              <w:ind w:leftChars="0" w:left="34"/>
              <w:jc w:val="both"/>
              <w:rPr>
                <w:szCs w:val="24"/>
              </w:rPr>
            </w:pPr>
            <w:r>
              <w:rPr>
                <w:rFonts w:hint="eastAsia"/>
                <w:szCs w:val="24"/>
              </w:rPr>
              <w:t>1.</w:t>
            </w:r>
            <w:r w:rsidR="000D6EF7" w:rsidRPr="00E53F73">
              <w:rPr>
                <w:rFonts w:hint="eastAsia"/>
                <w:szCs w:val="24"/>
              </w:rPr>
              <w:t>知道生物和非生物的區別</w:t>
            </w:r>
          </w:p>
          <w:p w14:paraId="1BD535D6" w14:textId="77777777" w:rsidR="00103984" w:rsidRDefault="000D6EF7" w:rsidP="00103984">
            <w:pPr>
              <w:ind w:left="34" w:hanging="34"/>
              <w:jc w:val="both"/>
              <w:rPr>
                <w:szCs w:val="24"/>
              </w:rPr>
            </w:pPr>
            <w:r w:rsidRPr="00E53F73">
              <w:rPr>
                <w:rFonts w:ascii="新細明體" w:hAnsi="新細明體" w:hint="eastAsia"/>
                <w:szCs w:val="24"/>
              </w:rPr>
              <w:t>能夠了解細胞中各種構造的特性及功能。</w:t>
            </w:r>
          </w:p>
          <w:p w14:paraId="04841715" w14:textId="6F7A08DB" w:rsidR="00E53F73" w:rsidRPr="00103984" w:rsidRDefault="00103984" w:rsidP="00103984">
            <w:pPr>
              <w:ind w:left="34" w:hanging="34"/>
              <w:jc w:val="both"/>
              <w:rPr>
                <w:szCs w:val="24"/>
              </w:rPr>
            </w:pPr>
            <w:r>
              <w:rPr>
                <w:rFonts w:hint="eastAsia"/>
                <w:szCs w:val="24"/>
              </w:rPr>
              <w:t>2.</w:t>
            </w:r>
            <w:r w:rsidR="00E53F73" w:rsidRPr="00103984">
              <w:rPr>
                <w:rFonts w:hint="eastAsia"/>
                <w:szCs w:val="24"/>
              </w:rPr>
              <w:t>了解複式顯微鏡與解剖顯微鏡的構造與基本操作方式。</w:t>
            </w:r>
          </w:p>
          <w:p w14:paraId="5A7624BE" w14:textId="0B8AD35D" w:rsidR="00E53F73" w:rsidRPr="00E53F73" w:rsidRDefault="00E53F73" w:rsidP="00103984">
            <w:pPr>
              <w:ind w:left="34" w:hanging="34"/>
              <w:jc w:val="both"/>
              <w:rPr>
                <w:szCs w:val="24"/>
              </w:rPr>
            </w:pPr>
            <w:r>
              <w:rPr>
                <w:rFonts w:hint="eastAsia"/>
                <w:szCs w:val="24"/>
              </w:rPr>
              <w:t>3</w:t>
            </w:r>
            <w:r w:rsidRPr="00E53F73">
              <w:rPr>
                <w:rFonts w:hint="eastAsia"/>
                <w:szCs w:val="24"/>
              </w:rPr>
              <w:t>.</w:t>
            </w:r>
            <w:r w:rsidRPr="00E53F73">
              <w:rPr>
                <w:rFonts w:hint="eastAsia"/>
                <w:szCs w:val="24"/>
              </w:rPr>
              <w:t>能正確的操作複式顯微鏡觀察標本。</w:t>
            </w:r>
          </w:p>
          <w:p w14:paraId="016C7BFF" w14:textId="64E7850D" w:rsidR="00E53F73" w:rsidRPr="00E53F73" w:rsidRDefault="00E53F73" w:rsidP="00103984">
            <w:pPr>
              <w:ind w:left="34" w:hanging="34"/>
              <w:jc w:val="both"/>
              <w:rPr>
                <w:szCs w:val="24"/>
              </w:rPr>
            </w:pPr>
            <w:r>
              <w:rPr>
                <w:szCs w:val="24"/>
              </w:rPr>
              <w:t>4</w:t>
            </w:r>
            <w:r w:rsidRPr="00E53F73">
              <w:rPr>
                <w:rFonts w:hint="eastAsia"/>
                <w:szCs w:val="24"/>
              </w:rPr>
              <w:t>.</w:t>
            </w:r>
            <w:r w:rsidRPr="00E53F73">
              <w:rPr>
                <w:rFonts w:hint="eastAsia"/>
                <w:szCs w:val="24"/>
              </w:rPr>
              <w:t>能正確的操作解剖顯微鏡觀察標本。</w:t>
            </w:r>
          </w:p>
          <w:p w14:paraId="69EBAD1E" w14:textId="6F1F8724" w:rsidR="00E53F73" w:rsidRPr="00E53F73" w:rsidRDefault="00E53F73" w:rsidP="00103984">
            <w:pPr>
              <w:ind w:left="34" w:hanging="34"/>
              <w:jc w:val="both"/>
              <w:rPr>
                <w:szCs w:val="24"/>
              </w:rPr>
            </w:pPr>
            <w:r>
              <w:rPr>
                <w:szCs w:val="24"/>
              </w:rPr>
              <w:t>5</w:t>
            </w:r>
            <w:r w:rsidRPr="00E53F73">
              <w:rPr>
                <w:rFonts w:hint="eastAsia"/>
                <w:szCs w:val="24"/>
              </w:rPr>
              <w:t>.</w:t>
            </w:r>
            <w:r w:rsidRPr="00E53F73">
              <w:rPr>
                <w:rFonts w:hint="eastAsia"/>
                <w:szCs w:val="24"/>
              </w:rPr>
              <w:t>比較動物與植物的細胞形態。</w:t>
            </w:r>
          </w:p>
          <w:p w14:paraId="2DB2F47C" w14:textId="6E87562D" w:rsidR="004741AD" w:rsidRDefault="004741AD" w:rsidP="002C66D6">
            <w:pPr>
              <w:jc w:val="center"/>
            </w:pPr>
          </w:p>
        </w:tc>
      </w:tr>
      <w:tr w:rsidR="004741AD" w14:paraId="6B3F1C49" w14:textId="77777777" w:rsidTr="006C0F25">
        <w:tc>
          <w:tcPr>
            <w:tcW w:w="1384" w:type="dxa"/>
            <w:tcBorders>
              <w:top w:val="single" w:sz="4" w:space="0" w:color="auto"/>
              <w:bottom w:val="single" w:sz="4" w:space="0" w:color="auto"/>
            </w:tcBorders>
            <w:vAlign w:val="center"/>
          </w:tcPr>
          <w:p w14:paraId="595EA3F5" w14:textId="77777777" w:rsidR="004741AD" w:rsidRDefault="004741AD" w:rsidP="00941DF3">
            <w:pPr>
              <w:jc w:val="center"/>
              <w:rPr>
                <w:sz w:val="36"/>
              </w:rPr>
            </w:pPr>
            <w:r w:rsidRPr="00941DF3">
              <w:rPr>
                <w:rFonts w:hint="eastAsia"/>
                <w:sz w:val="36"/>
              </w:rPr>
              <w:lastRenderedPageBreak/>
              <w:t>2</w:t>
            </w:r>
          </w:p>
          <w:p w14:paraId="28B6611E" w14:textId="1027F20E" w:rsidR="00344828" w:rsidRPr="00941DF3" w:rsidRDefault="00FA0567" w:rsidP="00941DF3">
            <w:pPr>
              <w:jc w:val="center"/>
              <w:rPr>
                <w:sz w:val="36"/>
              </w:rPr>
            </w:pPr>
            <w:r w:rsidRPr="00FA0567">
              <w:rPr>
                <w:rFonts w:hint="eastAsia"/>
                <w:sz w:val="36"/>
              </w:rPr>
              <w:t>生物體的組成</w:t>
            </w:r>
          </w:p>
        </w:tc>
        <w:tc>
          <w:tcPr>
            <w:tcW w:w="2693" w:type="dxa"/>
          </w:tcPr>
          <w:p w14:paraId="4DD360B9"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sz w:val="20"/>
                <w:szCs w:val="20"/>
              </w:rPr>
              <w:t>pe-</w:t>
            </w:r>
            <w:r w:rsidRPr="00851282">
              <w:rPr>
                <w:rFonts w:ascii="標楷體" w:eastAsia="標楷體" w:hAnsi="標楷體" w:hint="eastAsia"/>
                <w:sz w:val="20"/>
                <w:szCs w:val="20"/>
              </w:rPr>
              <w:t>Ⅳ</w:t>
            </w:r>
            <w:r w:rsidRPr="00851282">
              <w:rPr>
                <w:rFonts w:ascii="標楷體" w:eastAsia="標楷體" w:hAnsi="標楷體"/>
                <w:sz w:val="20"/>
                <w:szCs w:val="20"/>
              </w:rPr>
              <w:t>-1</w:t>
            </w:r>
            <w:r w:rsidRPr="00851282">
              <w:rPr>
                <w:rFonts w:ascii="標楷體" w:eastAsia="標楷體" w:hAnsi="標楷體" w:hint="eastAsia"/>
                <w:sz w:val="20"/>
                <w:szCs w:val="20"/>
              </w:rPr>
              <w:t>能辨明多個自變項、應變項並計劃適當次數的測試、預測活動的可能結果。在教師或教科書的指導或說明下，能了解探究的計畫，並進而能根據問題特性、資源（例如：設備、時間）等因素，規劃具有可信度（例如：多次測量等）的探究活動。</w:t>
            </w:r>
          </w:p>
          <w:p w14:paraId="41327BBD"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sz w:val="20"/>
                <w:szCs w:val="20"/>
              </w:rPr>
              <w:t>pe-</w:t>
            </w:r>
            <w:r w:rsidRPr="00851282">
              <w:rPr>
                <w:rFonts w:ascii="標楷體" w:eastAsia="標楷體" w:hAnsi="標楷體" w:hint="eastAsia"/>
                <w:sz w:val="20"/>
                <w:szCs w:val="20"/>
              </w:rPr>
              <w:t>Ⅳ</w:t>
            </w:r>
            <w:r w:rsidRPr="00851282">
              <w:rPr>
                <w:rFonts w:ascii="標楷體" w:eastAsia="標楷體" w:hAnsi="標楷體"/>
                <w:sz w:val="20"/>
                <w:szCs w:val="20"/>
              </w:rPr>
              <w:t>-2</w:t>
            </w:r>
            <w:r w:rsidRPr="00851282">
              <w:rPr>
                <w:rFonts w:ascii="標楷體" w:eastAsia="標楷體" w:hAnsi="標楷體" w:hint="eastAsia"/>
                <w:sz w:val="20"/>
                <w:szCs w:val="20"/>
              </w:rPr>
              <w:t>能正確安全操作適合學習階段的物品、器材儀器、科技設備與資源。能進行客觀的質性觀察或數值量測並詳實記錄。</w:t>
            </w:r>
          </w:p>
          <w:p w14:paraId="2C935B86" w14:textId="53638215"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hint="eastAsia"/>
                <w:sz w:val="20"/>
                <w:szCs w:val="20"/>
              </w:rPr>
              <w:t>ah-Ⅳ-1對於有關科學發現的報導甚至權威的解釋（如報章雜誌的報導或書本上的解釋）能抱持懷疑的態度，評估其推論的證據是否充分且可信賴。</w:t>
            </w:r>
          </w:p>
          <w:p w14:paraId="2C2AE192"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hint="eastAsia"/>
                <w:sz w:val="20"/>
                <w:szCs w:val="20"/>
              </w:rPr>
              <w:t>an -Ⅳ-2 分辨科學知識的確定性和持久性會因科學研究的時空背景不同而有所變化。</w:t>
            </w:r>
          </w:p>
          <w:p w14:paraId="21DD1656" w14:textId="041C793B"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sz w:val="20"/>
                <w:szCs w:val="20"/>
              </w:rPr>
              <w:t>tr-</w:t>
            </w:r>
            <w:r w:rsidRPr="00851282">
              <w:rPr>
                <w:rFonts w:ascii="標楷體" w:eastAsia="標楷體" w:hAnsi="標楷體" w:hint="eastAsia"/>
                <w:sz w:val="20"/>
                <w:szCs w:val="20"/>
              </w:rPr>
              <w:t>Ⅳ</w:t>
            </w:r>
            <w:r w:rsidRPr="00851282">
              <w:rPr>
                <w:rFonts w:ascii="標楷體" w:eastAsia="標楷體" w:hAnsi="標楷體"/>
                <w:sz w:val="20"/>
                <w:szCs w:val="20"/>
              </w:rPr>
              <w:t xml:space="preserve">-1  </w:t>
            </w:r>
            <w:r w:rsidRPr="00851282">
              <w:rPr>
                <w:rFonts w:ascii="標楷體" w:eastAsia="標楷體" w:hAnsi="標楷體" w:hint="eastAsia"/>
                <w:sz w:val="20"/>
                <w:szCs w:val="20"/>
              </w:rPr>
              <w:t>能將所習得的知識正確的連結到所觀察到的自然現象及實驗數據，並推論出其中的關聯，進而運用習得的知識來解釋自己論點的正確性。</w:t>
            </w:r>
          </w:p>
          <w:p w14:paraId="0775CD58"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hint="eastAsia"/>
                <w:sz w:val="20"/>
                <w:szCs w:val="20"/>
              </w:rPr>
              <w:t>ai -Ⅳ-3透過所學到的科學知識和科學探索的各種方法，解釋自然現象發生的原因，建立科學學習的自信心。</w:t>
            </w:r>
          </w:p>
          <w:p w14:paraId="39AEAC79" w14:textId="142ABAC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sz w:val="20"/>
                <w:szCs w:val="20"/>
              </w:rPr>
              <w:t>po-</w:t>
            </w:r>
            <w:r w:rsidRPr="00851282">
              <w:rPr>
                <w:rFonts w:ascii="標楷體" w:eastAsia="標楷體" w:hAnsi="標楷體" w:hint="eastAsia"/>
                <w:sz w:val="20"/>
                <w:szCs w:val="20"/>
              </w:rPr>
              <w:t>Ⅳ</w:t>
            </w:r>
            <w:r w:rsidRPr="00851282">
              <w:rPr>
                <w:rFonts w:ascii="標楷體" w:eastAsia="標楷體" w:hAnsi="標楷體"/>
                <w:sz w:val="20"/>
                <w:szCs w:val="20"/>
              </w:rPr>
              <w:t>-1</w:t>
            </w:r>
            <w:r w:rsidRPr="00851282">
              <w:rPr>
                <w:rFonts w:ascii="標楷體" w:eastAsia="標楷體" w:hAnsi="標楷體" w:hint="eastAsia"/>
                <w:sz w:val="20"/>
                <w:szCs w:val="20"/>
              </w:rPr>
              <w:t>能從學習活動、日常經驗及科技運用、自然環境、書刊及網路媒體中，進行各種有計畫的觀察，進而能察覺問題。</w:t>
            </w:r>
          </w:p>
          <w:p w14:paraId="795DC0FB"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hint="eastAsia"/>
                <w:sz w:val="20"/>
                <w:szCs w:val="20"/>
              </w:rPr>
              <w:t>pa-Ⅳ-1 能分析歸納、製作圖表、使用資訊及數學等方法，整理資訊或數據。</w:t>
            </w:r>
          </w:p>
          <w:p w14:paraId="1CC16063"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hint="eastAsia"/>
                <w:sz w:val="20"/>
                <w:szCs w:val="20"/>
              </w:rPr>
              <w:t>pa-Ⅳ-2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419B6B8A" w14:textId="77777777" w:rsidR="00B50047" w:rsidRPr="00851282" w:rsidRDefault="00B50047" w:rsidP="00103984">
            <w:pPr>
              <w:spacing w:line="240" w:lineRule="exact"/>
              <w:rPr>
                <w:rFonts w:ascii="標楷體" w:eastAsia="標楷體" w:hAnsi="標楷體"/>
                <w:sz w:val="20"/>
                <w:szCs w:val="20"/>
              </w:rPr>
            </w:pPr>
            <w:r w:rsidRPr="00851282">
              <w:rPr>
                <w:rFonts w:ascii="標楷體" w:eastAsia="標楷體" w:hAnsi="標楷體"/>
                <w:sz w:val="20"/>
                <w:szCs w:val="20"/>
              </w:rPr>
              <w:t>pc-</w:t>
            </w:r>
            <w:r w:rsidRPr="00851282">
              <w:rPr>
                <w:rFonts w:ascii="標楷體" w:eastAsia="標楷體" w:hAnsi="標楷體" w:hint="eastAsia"/>
                <w:sz w:val="20"/>
                <w:szCs w:val="20"/>
              </w:rPr>
              <w:t>Ⅳ</w:t>
            </w:r>
            <w:r w:rsidRPr="00851282">
              <w:rPr>
                <w:rFonts w:ascii="標楷體" w:eastAsia="標楷體" w:hAnsi="標楷體"/>
                <w:sz w:val="20"/>
                <w:szCs w:val="20"/>
              </w:rPr>
              <w:t>-1</w:t>
            </w:r>
            <w:r w:rsidRPr="00851282">
              <w:rPr>
                <w:rFonts w:ascii="標楷體" w:eastAsia="標楷體" w:hAnsi="標楷體" w:hint="eastAsia"/>
                <w:sz w:val="20"/>
                <w:szCs w:val="20"/>
              </w:rPr>
              <w:t>能理解同學的探究過程和結果（或經簡化過的科學報告），提出合理而且具有根據的疑問或意見。並能對問題、探究方法、證據及發現，彼此間的符應情形，進行檢核並提出可能的改善方案。</w:t>
            </w:r>
          </w:p>
          <w:p w14:paraId="29ACC74D" w14:textId="77777777" w:rsidR="004741AD" w:rsidRPr="00851282" w:rsidRDefault="00B50047" w:rsidP="00103984">
            <w:pPr>
              <w:spacing w:line="240" w:lineRule="exact"/>
              <w:rPr>
                <w:rFonts w:ascii="標楷體" w:eastAsia="標楷體" w:hAnsi="標楷體"/>
                <w:sz w:val="20"/>
                <w:szCs w:val="20"/>
              </w:rPr>
            </w:pPr>
            <w:r w:rsidRPr="00851282">
              <w:rPr>
                <w:rFonts w:ascii="標楷體" w:eastAsia="標楷體" w:hAnsi="標楷體" w:hint="eastAsia"/>
                <w:sz w:val="20"/>
                <w:szCs w:val="20"/>
              </w:rPr>
              <w:t>pc-Ⅳ-2 能利用口語、影像（如攝影、錄影）、文字與圖案、繪圖或實物、科學名</w:t>
            </w:r>
            <w:r w:rsidRPr="00851282">
              <w:rPr>
                <w:rFonts w:ascii="標楷體" w:eastAsia="標楷體" w:hAnsi="標楷體" w:hint="eastAsia"/>
                <w:sz w:val="20"/>
                <w:szCs w:val="20"/>
              </w:rPr>
              <w:lastRenderedPageBreak/>
              <w:t>詞、數學公式、模型或經教師認可後以報告或新媒體形式表達完整之探究過程、發現與成果、價值、限制和主張等。</w:t>
            </w:r>
          </w:p>
          <w:p w14:paraId="78208800" w14:textId="05B5588A" w:rsidR="00851282" w:rsidRPr="00F50FC3" w:rsidRDefault="00851282" w:rsidP="00103984">
            <w:pPr>
              <w:spacing w:line="240" w:lineRule="exact"/>
              <w:rPr>
                <w:rFonts w:ascii="標楷體" w:eastAsia="標楷體" w:hAnsi="標楷體"/>
                <w:sz w:val="20"/>
                <w:szCs w:val="20"/>
              </w:rPr>
            </w:pPr>
          </w:p>
        </w:tc>
        <w:tc>
          <w:tcPr>
            <w:tcW w:w="1843" w:type="dxa"/>
            <w:tcBorders>
              <w:top w:val="single" w:sz="4" w:space="0" w:color="auto"/>
              <w:bottom w:val="single" w:sz="4" w:space="0" w:color="auto"/>
            </w:tcBorders>
            <w:vAlign w:val="center"/>
          </w:tcPr>
          <w:p w14:paraId="130E5FF7" w14:textId="77777777" w:rsidR="00941DF3" w:rsidRDefault="00941DF3" w:rsidP="00941DF3">
            <w:pPr>
              <w:jc w:val="center"/>
            </w:pPr>
            <w:r>
              <w:rPr>
                <w:rFonts w:asciiTheme="minorEastAsia" w:hAnsiTheme="minorEastAsia" w:hint="eastAsia"/>
              </w:rPr>
              <w:lastRenderedPageBreak/>
              <w:t>▓</w:t>
            </w:r>
            <w:r>
              <w:rPr>
                <w:rFonts w:hint="eastAsia"/>
              </w:rPr>
              <w:t>加深</w:t>
            </w:r>
          </w:p>
          <w:p w14:paraId="298432DD" w14:textId="77777777" w:rsidR="00941DF3" w:rsidRDefault="00941DF3" w:rsidP="00941DF3">
            <w:pPr>
              <w:jc w:val="center"/>
            </w:pPr>
            <w:r>
              <w:rPr>
                <w:rFonts w:asciiTheme="minorEastAsia" w:hAnsiTheme="minorEastAsia" w:hint="eastAsia"/>
              </w:rPr>
              <w:t>▓</w:t>
            </w:r>
            <w:r>
              <w:rPr>
                <w:rFonts w:hint="eastAsia"/>
              </w:rPr>
              <w:t>加廣</w:t>
            </w:r>
          </w:p>
          <w:p w14:paraId="4FA02199" w14:textId="77777777" w:rsidR="004741AD" w:rsidRDefault="00941DF3" w:rsidP="00941DF3">
            <w:pPr>
              <w:jc w:val="center"/>
            </w:pPr>
            <w:r>
              <w:rPr>
                <w:rFonts w:asciiTheme="minorEastAsia" w:hAnsiTheme="minorEastAsia" w:hint="eastAsia"/>
              </w:rPr>
              <w:t>□</w:t>
            </w:r>
            <w:r>
              <w:rPr>
                <w:rFonts w:hint="eastAsia"/>
              </w:rPr>
              <w:t>加速</w:t>
            </w:r>
          </w:p>
          <w:p w14:paraId="14BBC7A9" w14:textId="77777777" w:rsidR="00FA0567" w:rsidRDefault="00E51A41" w:rsidP="00941DF3">
            <w:pPr>
              <w:jc w:val="center"/>
            </w:pPr>
            <w:r>
              <w:rPr>
                <w:rFonts w:hint="eastAsia"/>
              </w:rPr>
              <w:t>補充實驗：</w:t>
            </w:r>
          </w:p>
          <w:p w14:paraId="0A962D74" w14:textId="77777777" w:rsidR="00757B82" w:rsidRDefault="00757B82" w:rsidP="00941DF3">
            <w:pPr>
              <w:jc w:val="center"/>
            </w:pPr>
            <w:r>
              <w:t>從泡菜</w:t>
            </w:r>
          </w:p>
          <w:p w14:paraId="4D35D834" w14:textId="4AB7DC95" w:rsidR="00E51A41" w:rsidRPr="00B15337" w:rsidRDefault="00757B82" w:rsidP="00941DF3">
            <w:pPr>
              <w:jc w:val="center"/>
            </w:pPr>
            <w:r>
              <w:t>細胞滲透</w:t>
            </w:r>
          </w:p>
        </w:tc>
        <w:tc>
          <w:tcPr>
            <w:tcW w:w="1276" w:type="dxa"/>
            <w:tcBorders>
              <w:top w:val="single" w:sz="4" w:space="0" w:color="auto"/>
              <w:bottom w:val="single" w:sz="4" w:space="0" w:color="auto"/>
            </w:tcBorders>
            <w:vAlign w:val="center"/>
          </w:tcPr>
          <w:p w14:paraId="25B412C4" w14:textId="77777777" w:rsidR="002C66D6" w:rsidRDefault="002C66D6" w:rsidP="002C66D6">
            <w:pPr>
              <w:jc w:val="center"/>
            </w:pPr>
            <w:r>
              <w:rPr>
                <w:rFonts w:hint="eastAsia"/>
              </w:rPr>
              <w:t>口頭發表</w:t>
            </w:r>
          </w:p>
          <w:p w14:paraId="0840B4CF" w14:textId="77777777" w:rsidR="002C66D6" w:rsidRDefault="002C66D6" w:rsidP="002C66D6">
            <w:pPr>
              <w:jc w:val="center"/>
            </w:pPr>
            <w:r>
              <w:rPr>
                <w:rFonts w:hint="eastAsia"/>
              </w:rPr>
              <w:t>實驗</w:t>
            </w:r>
          </w:p>
          <w:p w14:paraId="3565273E" w14:textId="77777777" w:rsidR="004741AD" w:rsidRDefault="002C66D6" w:rsidP="002C66D6">
            <w:pPr>
              <w:jc w:val="center"/>
            </w:pPr>
            <w:r>
              <w:rPr>
                <w:rFonts w:hint="eastAsia"/>
              </w:rPr>
              <w:t>紙筆測驗</w:t>
            </w:r>
          </w:p>
        </w:tc>
        <w:tc>
          <w:tcPr>
            <w:tcW w:w="3401" w:type="dxa"/>
            <w:tcBorders>
              <w:top w:val="single" w:sz="4" w:space="0" w:color="auto"/>
              <w:bottom w:val="single" w:sz="4" w:space="0" w:color="auto"/>
            </w:tcBorders>
            <w:vAlign w:val="center"/>
          </w:tcPr>
          <w:p w14:paraId="0CA2CC82" w14:textId="04D58E04" w:rsidR="00E53F73" w:rsidRDefault="00E53F73" w:rsidP="00103984">
            <w:pPr>
              <w:jc w:val="both"/>
            </w:pPr>
            <w:r>
              <w:rPr>
                <w:rFonts w:hint="eastAsia"/>
              </w:rPr>
              <w:t>1.</w:t>
            </w:r>
            <w:r>
              <w:rPr>
                <w:rFonts w:hint="eastAsia"/>
              </w:rPr>
              <w:t>了解生物細胞的組成</w:t>
            </w:r>
          </w:p>
          <w:p w14:paraId="5C8C4FCC" w14:textId="77777777" w:rsidR="00E53F73" w:rsidRDefault="00E53F73" w:rsidP="00103984">
            <w:pPr>
              <w:jc w:val="both"/>
            </w:pPr>
            <w:r>
              <w:rPr>
                <w:rFonts w:hint="eastAsia"/>
              </w:rPr>
              <w:t>2.</w:t>
            </w:r>
            <w:r>
              <w:rPr>
                <w:rFonts w:hint="eastAsia"/>
              </w:rPr>
              <w:t>知道細胞所需的物質進出細胞的方式。</w:t>
            </w:r>
          </w:p>
          <w:p w14:paraId="0DDE2446" w14:textId="0CE0FAD8" w:rsidR="00E53F73" w:rsidRDefault="00E53F73" w:rsidP="00103984">
            <w:pPr>
              <w:jc w:val="both"/>
            </w:pPr>
            <w:r>
              <w:rPr>
                <w:rFonts w:hint="eastAsia"/>
              </w:rPr>
              <w:t>3.</w:t>
            </w:r>
            <w:r>
              <w:rPr>
                <w:rFonts w:hint="eastAsia"/>
              </w:rPr>
              <w:t>了解擴散作用與滲透作用的定義，並能指出生活實例。</w:t>
            </w:r>
          </w:p>
          <w:p w14:paraId="1E2238C5" w14:textId="57B2145A" w:rsidR="00E53F73" w:rsidRDefault="00103984" w:rsidP="00103984">
            <w:pPr>
              <w:jc w:val="both"/>
            </w:pPr>
            <w:r>
              <w:rPr>
                <w:rFonts w:hint="eastAsia"/>
              </w:rPr>
              <w:t>4.</w:t>
            </w:r>
            <w:r w:rsidR="00E53F73">
              <w:rPr>
                <w:rFonts w:hint="eastAsia"/>
              </w:rPr>
              <w:t>知道單細胞生物和多細胞生物的差異。</w:t>
            </w:r>
          </w:p>
          <w:p w14:paraId="21E89EE8" w14:textId="1E3FB219" w:rsidR="00E53F73" w:rsidRDefault="00103984" w:rsidP="00103984">
            <w:pPr>
              <w:jc w:val="both"/>
            </w:pPr>
            <w:r>
              <w:rPr>
                <w:rFonts w:hint="eastAsia"/>
              </w:rPr>
              <w:t>5.</w:t>
            </w:r>
            <w:r w:rsidR="00E53F73">
              <w:rPr>
                <w:rFonts w:hint="eastAsia"/>
              </w:rPr>
              <w:t>知道多細胞生物的組成層次。</w:t>
            </w:r>
          </w:p>
          <w:p w14:paraId="7424ECBD" w14:textId="77777777" w:rsidR="00E53F73" w:rsidRDefault="00E53F73" w:rsidP="00103984">
            <w:pPr>
              <w:jc w:val="both"/>
            </w:pPr>
            <w:r>
              <w:rPr>
                <w:rFonts w:hint="eastAsia"/>
              </w:rPr>
              <w:t>6.</w:t>
            </w:r>
            <w:r>
              <w:rPr>
                <w:rFonts w:hint="eastAsia"/>
              </w:rPr>
              <w:t>能舉出數種單細胞生物和多細胞生物。</w:t>
            </w:r>
          </w:p>
          <w:p w14:paraId="479B1348" w14:textId="38C783AF" w:rsidR="00E53F73" w:rsidRDefault="00E53F73" w:rsidP="00103984">
            <w:pPr>
              <w:jc w:val="both"/>
            </w:pPr>
            <w:r>
              <w:rPr>
                <w:rFonts w:hint="eastAsia"/>
              </w:rPr>
              <w:t xml:space="preserve">7. </w:t>
            </w:r>
            <w:r w:rsidRPr="00E53F73">
              <w:rPr>
                <w:rFonts w:hint="eastAsia"/>
              </w:rPr>
              <w:t>能用複式顯微鏡觀察水中的小生物。</w:t>
            </w:r>
            <w:r>
              <w:rPr>
                <w:rFonts w:hint="eastAsia"/>
              </w:rPr>
              <w:t xml:space="preserve"> </w:t>
            </w:r>
          </w:p>
          <w:p w14:paraId="049F384A" w14:textId="0ED5981D" w:rsidR="004741AD" w:rsidRDefault="004741AD" w:rsidP="00103984">
            <w:pPr>
              <w:jc w:val="both"/>
            </w:pPr>
          </w:p>
        </w:tc>
      </w:tr>
      <w:tr w:rsidR="004741AD" w14:paraId="65E49897" w14:textId="77777777" w:rsidTr="006C0F25">
        <w:tc>
          <w:tcPr>
            <w:tcW w:w="1384" w:type="dxa"/>
            <w:tcBorders>
              <w:top w:val="single" w:sz="4" w:space="0" w:color="auto"/>
              <w:bottom w:val="single" w:sz="4" w:space="0" w:color="auto"/>
            </w:tcBorders>
            <w:vAlign w:val="center"/>
          </w:tcPr>
          <w:p w14:paraId="14CC32C4" w14:textId="77777777" w:rsidR="004741AD" w:rsidRDefault="004741AD" w:rsidP="00941DF3">
            <w:pPr>
              <w:jc w:val="center"/>
              <w:rPr>
                <w:sz w:val="36"/>
              </w:rPr>
            </w:pPr>
            <w:r w:rsidRPr="00941DF3">
              <w:rPr>
                <w:rFonts w:hint="eastAsia"/>
                <w:sz w:val="36"/>
              </w:rPr>
              <w:t>3</w:t>
            </w:r>
          </w:p>
          <w:p w14:paraId="6F2D1F91" w14:textId="08E2FA18" w:rsidR="00344828" w:rsidRPr="00941DF3" w:rsidRDefault="00FA0567" w:rsidP="00941DF3">
            <w:pPr>
              <w:jc w:val="center"/>
              <w:rPr>
                <w:sz w:val="36"/>
              </w:rPr>
            </w:pPr>
            <w:r w:rsidRPr="00FA0567">
              <w:rPr>
                <w:rFonts w:hint="eastAsia"/>
                <w:sz w:val="36"/>
              </w:rPr>
              <w:t>生物體的營養</w:t>
            </w:r>
          </w:p>
        </w:tc>
        <w:tc>
          <w:tcPr>
            <w:tcW w:w="2693" w:type="dxa"/>
          </w:tcPr>
          <w:p w14:paraId="56EF75DD"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ai -Ⅳ-3透過所學到的科學知識和科學探索的各種方法，解釋自然現象發生的原因，建立科學學習的自信心。</w:t>
            </w:r>
          </w:p>
          <w:p w14:paraId="3B898989"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ti-IV-1</w:t>
            </w:r>
            <w:r w:rsidRPr="00851282">
              <w:rPr>
                <w:rFonts w:ascii="標楷體" w:eastAsia="標楷體" w:hAnsi="標楷體" w:hint="eastAsia"/>
                <w:sz w:val="20"/>
                <w:szCs w:val="20"/>
              </w:rPr>
              <w:t>能依據已知的自然科學知識概念，經由自我或團體探索與討論的過程，想像當使用的觀察方法或實驗方法改變時，其結果可能產生的差異；並能嘗試在指導下以創新思考和方法得到新的模型、成品或結果。</w:t>
            </w:r>
          </w:p>
          <w:p w14:paraId="266E15FA"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tr-IV-1</w:t>
            </w:r>
            <w:r w:rsidRPr="00851282">
              <w:rPr>
                <w:rFonts w:ascii="標楷體" w:eastAsia="標楷體" w:hAnsi="標楷體" w:hint="eastAsia"/>
                <w:sz w:val="20"/>
                <w:szCs w:val="20"/>
              </w:rPr>
              <w:t>能將所習得的知識正確的連結到所觀察到的自然現象及實驗數據，並推論出其中的關聯，進而運用習得的知識來解釋自己論點的正確性。</w:t>
            </w:r>
          </w:p>
          <w:p w14:paraId="684DDD0D"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tc-IV-1</w:t>
            </w:r>
            <w:r w:rsidRPr="00851282">
              <w:rPr>
                <w:rFonts w:ascii="標楷體" w:eastAsia="標楷體" w:hAnsi="標楷體" w:hint="eastAsia"/>
                <w:sz w:val="20"/>
                <w:szCs w:val="20"/>
              </w:rPr>
              <w:t>能依據已知的自然科學知識與概念，對自己蒐集與分類的科學數據，抱持合理的懷疑態度，並對他人的資訊或報告，提出自己的看法或解釋。</w:t>
            </w:r>
          </w:p>
          <w:p w14:paraId="0E2635A2"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po-</w:t>
            </w:r>
            <w:r w:rsidRPr="00851282">
              <w:rPr>
                <w:rFonts w:ascii="標楷體" w:eastAsia="標楷體" w:hAnsi="標楷體" w:hint="eastAsia"/>
                <w:sz w:val="20"/>
                <w:szCs w:val="20"/>
              </w:rPr>
              <w:t>Ⅳ</w:t>
            </w:r>
            <w:r w:rsidRPr="00851282">
              <w:rPr>
                <w:rFonts w:ascii="標楷體" w:eastAsia="標楷體" w:hAnsi="標楷體"/>
                <w:sz w:val="20"/>
                <w:szCs w:val="20"/>
              </w:rPr>
              <w:t>-1</w:t>
            </w:r>
            <w:r w:rsidRPr="00851282">
              <w:rPr>
                <w:rFonts w:ascii="標楷體" w:eastAsia="標楷體" w:hAnsi="標楷體" w:hint="eastAsia"/>
                <w:sz w:val="20"/>
                <w:szCs w:val="20"/>
              </w:rPr>
              <w:t>能從學習活動、日常經驗及科技運用、自然環境、書刊及網路媒體中，進行各種有計畫的觀察，進而能察覺問題。</w:t>
            </w:r>
          </w:p>
          <w:p w14:paraId="6AE44FA1"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pe-</w:t>
            </w:r>
            <w:r w:rsidRPr="00851282">
              <w:rPr>
                <w:rFonts w:ascii="標楷體" w:eastAsia="標楷體" w:hAnsi="標楷體" w:hint="eastAsia"/>
                <w:sz w:val="20"/>
                <w:szCs w:val="20"/>
              </w:rPr>
              <w:t>Ⅳ</w:t>
            </w:r>
            <w:r w:rsidRPr="00851282">
              <w:rPr>
                <w:rFonts w:ascii="標楷體" w:eastAsia="標楷體" w:hAnsi="標楷體"/>
                <w:sz w:val="20"/>
                <w:szCs w:val="20"/>
              </w:rPr>
              <w:t xml:space="preserve">-1 </w:t>
            </w:r>
            <w:r w:rsidRPr="00851282">
              <w:rPr>
                <w:rFonts w:ascii="標楷體" w:eastAsia="標楷體" w:hAnsi="標楷體" w:hint="eastAsia"/>
                <w:sz w:val="20"/>
                <w:szCs w:val="20"/>
              </w:rPr>
              <w:t>能辨明多個自變項、應變項並計劃適當次數的測試、預測活動的可能結果。在教師或教科書的指導或說明下，能了解探究的計畫，並進而能根據問題特性、資源（例如：設備、時間）等因素，規劃具有可信度（例如：多次測量等）的探究活動。</w:t>
            </w:r>
          </w:p>
          <w:p w14:paraId="53CFD424"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pe-</w:t>
            </w:r>
            <w:r w:rsidRPr="00851282">
              <w:rPr>
                <w:rFonts w:ascii="標楷體" w:eastAsia="標楷體" w:hAnsi="標楷體" w:hint="eastAsia"/>
                <w:sz w:val="20"/>
                <w:szCs w:val="20"/>
              </w:rPr>
              <w:t>Ⅳ</w:t>
            </w:r>
            <w:r w:rsidRPr="00851282">
              <w:rPr>
                <w:rFonts w:ascii="標楷體" w:eastAsia="標楷體" w:hAnsi="標楷體"/>
                <w:sz w:val="20"/>
                <w:szCs w:val="20"/>
              </w:rPr>
              <w:t>-2</w:t>
            </w:r>
            <w:r w:rsidRPr="00851282">
              <w:rPr>
                <w:rFonts w:ascii="標楷體" w:eastAsia="標楷體" w:hAnsi="標楷體" w:hint="eastAsia"/>
                <w:sz w:val="20"/>
                <w:szCs w:val="20"/>
              </w:rPr>
              <w:t>能正確安全操作適合學習階段的物品、器材儀器、科技設備與資源。能進行客觀的質性觀察或數值量測並詳實記錄。</w:t>
            </w:r>
          </w:p>
          <w:p w14:paraId="1A225848" w14:textId="77777777" w:rsidR="00B15337"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pc-</w:t>
            </w:r>
            <w:r w:rsidRPr="00851282">
              <w:rPr>
                <w:rFonts w:ascii="標楷體" w:eastAsia="標楷體" w:hAnsi="標楷體" w:hint="eastAsia"/>
                <w:sz w:val="20"/>
                <w:szCs w:val="20"/>
              </w:rPr>
              <w:t>Ⅳ</w:t>
            </w:r>
            <w:r w:rsidRPr="00851282">
              <w:rPr>
                <w:rFonts w:ascii="標楷體" w:eastAsia="標楷體" w:hAnsi="標楷體"/>
                <w:sz w:val="20"/>
                <w:szCs w:val="20"/>
              </w:rPr>
              <w:t>-1</w:t>
            </w:r>
            <w:r w:rsidRPr="00851282">
              <w:rPr>
                <w:rFonts w:ascii="標楷體" w:eastAsia="標楷體" w:hAnsi="標楷體" w:hint="eastAsia"/>
                <w:sz w:val="20"/>
                <w:szCs w:val="20"/>
              </w:rPr>
              <w:t>能理解同學的探究過程和結果（或經簡化過的科學報告），提出合理而且具有根據的疑問或意見。並能對問題、探究方法、證據及發現，彼此間的符應情形，進行檢核並提出可能的改善方案。</w:t>
            </w:r>
          </w:p>
          <w:p w14:paraId="33107E4B" w14:textId="670A3E45" w:rsidR="00851282" w:rsidRPr="00851282" w:rsidRDefault="00851282" w:rsidP="00851282">
            <w:pPr>
              <w:spacing w:line="240" w:lineRule="exact"/>
              <w:rPr>
                <w:rFonts w:ascii="標楷體" w:eastAsia="標楷體" w:hAnsi="標楷體"/>
                <w:sz w:val="20"/>
                <w:szCs w:val="20"/>
              </w:rPr>
            </w:pPr>
          </w:p>
        </w:tc>
        <w:tc>
          <w:tcPr>
            <w:tcW w:w="1843" w:type="dxa"/>
            <w:tcBorders>
              <w:top w:val="single" w:sz="4" w:space="0" w:color="auto"/>
              <w:bottom w:val="single" w:sz="4" w:space="0" w:color="auto"/>
            </w:tcBorders>
            <w:vAlign w:val="center"/>
          </w:tcPr>
          <w:p w14:paraId="1AC9C676" w14:textId="77777777" w:rsidR="00941DF3" w:rsidRDefault="00941DF3" w:rsidP="00941DF3">
            <w:pPr>
              <w:jc w:val="center"/>
            </w:pPr>
            <w:r>
              <w:rPr>
                <w:rFonts w:asciiTheme="minorEastAsia" w:hAnsiTheme="minorEastAsia" w:hint="eastAsia"/>
              </w:rPr>
              <w:t>▓</w:t>
            </w:r>
            <w:r>
              <w:rPr>
                <w:rFonts w:hint="eastAsia"/>
              </w:rPr>
              <w:t>加深</w:t>
            </w:r>
          </w:p>
          <w:p w14:paraId="49CF4DB8" w14:textId="77777777" w:rsidR="00941DF3" w:rsidRDefault="00941DF3" w:rsidP="00941DF3">
            <w:pPr>
              <w:jc w:val="center"/>
            </w:pPr>
            <w:r>
              <w:rPr>
                <w:rFonts w:asciiTheme="minorEastAsia" w:hAnsiTheme="minorEastAsia" w:hint="eastAsia"/>
              </w:rPr>
              <w:t>▓</w:t>
            </w:r>
            <w:r>
              <w:rPr>
                <w:rFonts w:hint="eastAsia"/>
              </w:rPr>
              <w:t>加廣</w:t>
            </w:r>
          </w:p>
          <w:p w14:paraId="30E5762B" w14:textId="77777777" w:rsidR="004741AD" w:rsidRDefault="00941DF3" w:rsidP="00941DF3">
            <w:pPr>
              <w:jc w:val="center"/>
            </w:pPr>
            <w:r>
              <w:rPr>
                <w:rFonts w:asciiTheme="minorEastAsia" w:hAnsiTheme="minorEastAsia" w:hint="eastAsia"/>
              </w:rPr>
              <w:t>□</w:t>
            </w:r>
            <w:r>
              <w:rPr>
                <w:rFonts w:hint="eastAsia"/>
              </w:rPr>
              <w:t>加速</w:t>
            </w:r>
          </w:p>
          <w:p w14:paraId="036728C9" w14:textId="77777777" w:rsidR="00757B82" w:rsidRDefault="00E51A41" w:rsidP="00941DF3">
            <w:pPr>
              <w:jc w:val="center"/>
            </w:pPr>
            <w:r>
              <w:rPr>
                <w:rFonts w:hint="eastAsia"/>
              </w:rPr>
              <w:t>補充：</w:t>
            </w:r>
          </w:p>
          <w:p w14:paraId="75B426E2" w14:textId="77777777" w:rsidR="00757B82" w:rsidRDefault="001266DF" w:rsidP="00757B82">
            <w:pPr>
              <w:pStyle w:val="a8"/>
              <w:numPr>
                <w:ilvl w:val="0"/>
                <w:numId w:val="8"/>
              </w:numPr>
              <w:ind w:leftChars="0"/>
            </w:pPr>
            <w:r w:rsidRPr="001266DF">
              <w:rPr>
                <w:rFonts w:hint="eastAsia"/>
              </w:rPr>
              <w:t>馬鈴薯澱粉</w:t>
            </w:r>
          </w:p>
          <w:p w14:paraId="10A9DFEB" w14:textId="01DC2640" w:rsidR="00E51A41" w:rsidRDefault="001266DF" w:rsidP="00757B82">
            <w:pPr>
              <w:pStyle w:val="a8"/>
              <w:numPr>
                <w:ilvl w:val="0"/>
                <w:numId w:val="8"/>
              </w:numPr>
              <w:ind w:leftChars="0"/>
            </w:pPr>
            <w:r w:rsidRPr="001266DF">
              <w:rPr>
                <w:rFonts w:hint="eastAsia"/>
              </w:rPr>
              <w:t>馬鈴薯火箭製作</w:t>
            </w:r>
          </w:p>
          <w:p w14:paraId="6DF31FCB" w14:textId="5FFFF9FC" w:rsidR="00FA0567" w:rsidRDefault="00FA0567" w:rsidP="00757B82">
            <w:pPr>
              <w:pStyle w:val="a8"/>
              <w:numPr>
                <w:ilvl w:val="0"/>
                <w:numId w:val="8"/>
              </w:numPr>
              <w:ind w:leftChars="0"/>
            </w:pPr>
            <w:r w:rsidRPr="00FA0567">
              <w:rPr>
                <w:rFonts w:hint="eastAsia"/>
              </w:rPr>
              <w:t>果蠅的攝食觀察</w:t>
            </w:r>
            <w:r w:rsidRPr="00B15337">
              <w:rPr>
                <w:rFonts w:hint="eastAsia"/>
              </w:rPr>
              <w:t>。</w:t>
            </w:r>
          </w:p>
        </w:tc>
        <w:tc>
          <w:tcPr>
            <w:tcW w:w="1276" w:type="dxa"/>
            <w:tcBorders>
              <w:top w:val="single" w:sz="4" w:space="0" w:color="auto"/>
              <w:bottom w:val="single" w:sz="4" w:space="0" w:color="auto"/>
            </w:tcBorders>
            <w:vAlign w:val="center"/>
          </w:tcPr>
          <w:p w14:paraId="23179639" w14:textId="77777777" w:rsidR="002C66D6" w:rsidRDefault="002C66D6" w:rsidP="002C66D6">
            <w:pPr>
              <w:jc w:val="center"/>
            </w:pPr>
            <w:r>
              <w:rPr>
                <w:rFonts w:hint="eastAsia"/>
              </w:rPr>
              <w:t>口頭發表</w:t>
            </w:r>
          </w:p>
          <w:p w14:paraId="5AEADCB3" w14:textId="77777777" w:rsidR="002C66D6" w:rsidRDefault="002C66D6" w:rsidP="002C66D6">
            <w:pPr>
              <w:jc w:val="center"/>
            </w:pPr>
            <w:r>
              <w:rPr>
                <w:rFonts w:hint="eastAsia"/>
              </w:rPr>
              <w:t>實驗</w:t>
            </w:r>
          </w:p>
          <w:p w14:paraId="7F21B09D" w14:textId="77777777" w:rsidR="004741AD" w:rsidRDefault="002C66D6" w:rsidP="002C66D6">
            <w:pPr>
              <w:jc w:val="center"/>
            </w:pPr>
            <w:r>
              <w:rPr>
                <w:rFonts w:hint="eastAsia"/>
              </w:rPr>
              <w:t>紙筆測驗</w:t>
            </w:r>
          </w:p>
        </w:tc>
        <w:tc>
          <w:tcPr>
            <w:tcW w:w="3401" w:type="dxa"/>
            <w:tcBorders>
              <w:top w:val="single" w:sz="4" w:space="0" w:color="auto"/>
              <w:bottom w:val="single" w:sz="4" w:space="0" w:color="auto"/>
            </w:tcBorders>
            <w:vAlign w:val="center"/>
          </w:tcPr>
          <w:p w14:paraId="32F87F1A" w14:textId="77777777" w:rsidR="00E53F73" w:rsidRDefault="00E53F73" w:rsidP="00103984">
            <w:r>
              <w:rPr>
                <w:rFonts w:hint="eastAsia"/>
              </w:rPr>
              <w:t>1.</w:t>
            </w:r>
            <w:r>
              <w:rPr>
                <w:rFonts w:hint="eastAsia"/>
              </w:rPr>
              <w:t>知道影響酵素作用的因素。</w:t>
            </w:r>
          </w:p>
          <w:p w14:paraId="0230E4C3" w14:textId="77777777" w:rsidR="00E53F73" w:rsidRDefault="00E53F73" w:rsidP="00103984">
            <w:r>
              <w:rPr>
                <w:rFonts w:hint="eastAsia"/>
              </w:rPr>
              <w:t>2.</w:t>
            </w:r>
            <w:r>
              <w:rPr>
                <w:rFonts w:hint="eastAsia"/>
              </w:rPr>
              <w:t>知道酵素的主要成分是蛋白質，且了解影響酵素活性的因素。</w:t>
            </w:r>
          </w:p>
          <w:p w14:paraId="28C4B7ED" w14:textId="77777777" w:rsidR="00E53F73" w:rsidRDefault="00E53F73" w:rsidP="00103984">
            <w:r>
              <w:rPr>
                <w:rFonts w:hint="eastAsia"/>
              </w:rPr>
              <w:t>3.</w:t>
            </w:r>
            <w:r>
              <w:rPr>
                <w:rFonts w:hint="eastAsia"/>
              </w:rPr>
              <w:t>了解葉子的構造。</w:t>
            </w:r>
          </w:p>
          <w:p w14:paraId="1DD0C396" w14:textId="77777777" w:rsidR="00E53F73" w:rsidRDefault="00E53F73" w:rsidP="00103984">
            <w:r>
              <w:rPr>
                <w:rFonts w:hint="eastAsia"/>
              </w:rPr>
              <w:t>4.</w:t>
            </w:r>
            <w:r>
              <w:rPr>
                <w:rFonts w:hint="eastAsia"/>
              </w:rPr>
              <w:t>了解光合作用進行的場所、原料和產物。</w:t>
            </w:r>
          </w:p>
          <w:p w14:paraId="6CEC1CB8" w14:textId="77777777" w:rsidR="00E53F73" w:rsidRDefault="00E53F73" w:rsidP="00103984">
            <w:r>
              <w:rPr>
                <w:rFonts w:hint="eastAsia"/>
              </w:rPr>
              <w:t>5.</w:t>
            </w:r>
            <w:r>
              <w:rPr>
                <w:rFonts w:hint="eastAsia"/>
              </w:rPr>
              <w:t>了解光合作用對於生命世界的重要性。</w:t>
            </w:r>
          </w:p>
          <w:p w14:paraId="4A818553" w14:textId="76712D7B" w:rsidR="004741AD" w:rsidRDefault="00E53F73" w:rsidP="00103984">
            <w:r>
              <w:rPr>
                <w:rFonts w:hint="eastAsia"/>
              </w:rPr>
              <w:t xml:space="preserve">6. </w:t>
            </w:r>
            <w:r w:rsidRPr="00E53F73">
              <w:rPr>
                <w:rFonts w:hint="eastAsia"/>
              </w:rPr>
              <w:t>.</w:t>
            </w:r>
            <w:r w:rsidRPr="00E53F73">
              <w:rPr>
                <w:rFonts w:hint="eastAsia"/>
              </w:rPr>
              <w:t>了解人體的消化系統和消化作用。</w:t>
            </w:r>
          </w:p>
        </w:tc>
      </w:tr>
      <w:tr w:rsidR="004741AD" w14:paraId="0ABE0228" w14:textId="77777777" w:rsidTr="006C0F25">
        <w:tc>
          <w:tcPr>
            <w:tcW w:w="1384" w:type="dxa"/>
            <w:tcBorders>
              <w:top w:val="single" w:sz="4" w:space="0" w:color="auto"/>
              <w:bottom w:val="single" w:sz="4" w:space="0" w:color="auto"/>
            </w:tcBorders>
            <w:vAlign w:val="center"/>
          </w:tcPr>
          <w:p w14:paraId="36E3D3F7" w14:textId="77777777" w:rsidR="004741AD" w:rsidRDefault="004741AD" w:rsidP="00941DF3">
            <w:pPr>
              <w:jc w:val="center"/>
              <w:rPr>
                <w:sz w:val="36"/>
              </w:rPr>
            </w:pPr>
            <w:r w:rsidRPr="00941DF3">
              <w:rPr>
                <w:rFonts w:hint="eastAsia"/>
                <w:sz w:val="36"/>
              </w:rPr>
              <w:t>4</w:t>
            </w:r>
          </w:p>
          <w:p w14:paraId="6C2B0479" w14:textId="7691FD63" w:rsidR="00344828" w:rsidRDefault="00FA0567" w:rsidP="00941DF3">
            <w:pPr>
              <w:jc w:val="center"/>
              <w:rPr>
                <w:sz w:val="36"/>
              </w:rPr>
            </w:pPr>
            <w:r w:rsidRPr="00FA0567">
              <w:rPr>
                <w:rFonts w:hint="eastAsia"/>
                <w:sz w:val="36"/>
              </w:rPr>
              <w:lastRenderedPageBreak/>
              <w:t>生物體內的運輸</w:t>
            </w:r>
            <w:r w:rsidR="00344828" w:rsidRPr="00344828">
              <w:rPr>
                <w:rFonts w:hint="eastAsia"/>
                <w:sz w:val="36"/>
              </w:rPr>
              <w:t>作用</w:t>
            </w:r>
          </w:p>
          <w:p w14:paraId="0DBED816" w14:textId="0D21FE72" w:rsidR="00344828" w:rsidRPr="00941DF3" w:rsidRDefault="00344828" w:rsidP="00941DF3">
            <w:pPr>
              <w:jc w:val="center"/>
              <w:rPr>
                <w:sz w:val="36"/>
              </w:rPr>
            </w:pPr>
          </w:p>
        </w:tc>
        <w:tc>
          <w:tcPr>
            <w:tcW w:w="2693" w:type="dxa"/>
          </w:tcPr>
          <w:p w14:paraId="6AFBCEFD"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lastRenderedPageBreak/>
              <w:t>pe-</w:t>
            </w:r>
            <w:r w:rsidRPr="00851282">
              <w:rPr>
                <w:rFonts w:ascii="標楷體" w:eastAsia="標楷體" w:hAnsi="標楷體" w:hint="eastAsia"/>
                <w:sz w:val="20"/>
                <w:szCs w:val="20"/>
              </w:rPr>
              <w:t>Ⅳ</w:t>
            </w:r>
            <w:r w:rsidRPr="00851282">
              <w:rPr>
                <w:rFonts w:ascii="標楷體" w:eastAsia="標楷體" w:hAnsi="標楷體"/>
                <w:sz w:val="20"/>
                <w:szCs w:val="20"/>
              </w:rPr>
              <w:t>-1</w:t>
            </w:r>
            <w:r w:rsidRPr="00851282">
              <w:rPr>
                <w:rFonts w:ascii="標楷體" w:eastAsia="標楷體" w:hAnsi="標楷體" w:hint="eastAsia"/>
                <w:sz w:val="20"/>
                <w:szCs w:val="20"/>
              </w:rPr>
              <w:t>能辨明多個自變項、應變項並計劃適當次數的測試、預測活動的可能結</w:t>
            </w:r>
            <w:r w:rsidRPr="00851282">
              <w:rPr>
                <w:rFonts w:ascii="標楷體" w:eastAsia="標楷體" w:hAnsi="標楷體" w:hint="eastAsia"/>
                <w:sz w:val="20"/>
                <w:szCs w:val="20"/>
              </w:rPr>
              <w:lastRenderedPageBreak/>
              <w:t>果。在教師或教科書的指導或說明下，能了解探究的計畫，並進而能根據問題特性、資源（例如：設備、時間）等因素，規劃具有可信度（例如：多次測量等）的探究活動。</w:t>
            </w:r>
          </w:p>
          <w:p w14:paraId="5940B8D8"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pe-</w:t>
            </w:r>
            <w:r w:rsidRPr="00851282">
              <w:rPr>
                <w:rFonts w:ascii="標楷體" w:eastAsia="標楷體" w:hAnsi="標楷體" w:hint="eastAsia"/>
                <w:sz w:val="20"/>
                <w:szCs w:val="20"/>
              </w:rPr>
              <w:t>Ⅳ</w:t>
            </w:r>
            <w:r w:rsidRPr="00851282">
              <w:rPr>
                <w:rFonts w:ascii="標楷體" w:eastAsia="標楷體" w:hAnsi="標楷體"/>
                <w:sz w:val="20"/>
                <w:szCs w:val="20"/>
              </w:rPr>
              <w:t>-2</w:t>
            </w:r>
            <w:r w:rsidRPr="00851282">
              <w:rPr>
                <w:rFonts w:ascii="標楷體" w:eastAsia="標楷體" w:hAnsi="標楷體" w:hint="eastAsia"/>
                <w:sz w:val="20"/>
                <w:szCs w:val="20"/>
              </w:rPr>
              <w:t>能正確安全操作適合學習階段的物品、器材儀器、科技設備與資源。能進行客觀的質性觀察或數值量測並詳實記錄。</w:t>
            </w:r>
          </w:p>
          <w:p w14:paraId="230016E7"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po-</w:t>
            </w:r>
            <w:r w:rsidRPr="00851282">
              <w:rPr>
                <w:rFonts w:ascii="標楷體" w:eastAsia="標楷體" w:hAnsi="標楷體" w:hint="eastAsia"/>
                <w:sz w:val="20"/>
                <w:szCs w:val="20"/>
              </w:rPr>
              <w:t>Ⅳ</w:t>
            </w:r>
            <w:r w:rsidRPr="00851282">
              <w:rPr>
                <w:rFonts w:ascii="標楷體" w:eastAsia="標楷體" w:hAnsi="標楷體"/>
                <w:sz w:val="20"/>
                <w:szCs w:val="20"/>
              </w:rPr>
              <w:t>-1</w:t>
            </w:r>
            <w:r w:rsidRPr="00851282">
              <w:rPr>
                <w:rFonts w:ascii="標楷體" w:eastAsia="標楷體" w:hAnsi="標楷體" w:hint="eastAsia"/>
                <w:sz w:val="20"/>
                <w:szCs w:val="20"/>
              </w:rPr>
              <w:t>能從學習活動、日常經驗及科技運用、自然環境、書刊及網路媒體中，進行各種有計畫的觀察，進而能察覺問題。</w:t>
            </w:r>
          </w:p>
          <w:p w14:paraId="557B6CFD"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po-</w:t>
            </w:r>
            <w:r w:rsidRPr="00851282">
              <w:rPr>
                <w:rFonts w:ascii="標楷體" w:eastAsia="標楷體" w:hAnsi="標楷體" w:hint="eastAsia"/>
                <w:sz w:val="20"/>
                <w:szCs w:val="20"/>
              </w:rPr>
              <w:t>Ⅳ</w:t>
            </w:r>
            <w:r w:rsidRPr="00851282">
              <w:rPr>
                <w:rFonts w:ascii="標楷體" w:eastAsia="標楷體" w:hAnsi="標楷體"/>
                <w:sz w:val="20"/>
                <w:szCs w:val="20"/>
              </w:rPr>
              <w:t>-2</w:t>
            </w:r>
            <w:r w:rsidRPr="00851282">
              <w:rPr>
                <w:rFonts w:ascii="標楷體" w:eastAsia="標楷體" w:hAnsi="標楷體" w:hint="eastAsia"/>
                <w:sz w:val="20"/>
                <w:szCs w:val="20"/>
              </w:rPr>
              <w:t>能辨別適合科學探究或適合以科學方式尋求解決的問題（或假說），並能依據觀察、蒐集資料、閱讀、思考、討論等，提出適宜探究之問題。</w:t>
            </w:r>
          </w:p>
          <w:p w14:paraId="7B111447"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ai-Ⅳ-1動手實作解決問題或驗證自己想法，而獲得成就感。</w:t>
            </w:r>
          </w:p>
          <w:p w14:paraId="5943D6FC"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sz w:val="20"/>
                <w:szCs w:val="20"/>
              </w:rPr>
              <w:t>ai-</w:t>
            </w:r>
            <w:r w:rsidRPr="00851282">
              <w:rPr>
                <w:rFonts w:ascii="標楷體" w:eastAsia="標楷體" w:hAnsi="標楷體" w:hint="eastAsia"/>
                <w:sz w:val="20"/>
                <w:szCs w:val="20"/>
              </w:rPr>
              <w:t>Ⅳ</w:t>
            </w:r>
            <w:r w:rsidRPr="00851282">
              <w:rPr>
                <w:rFonts w:ascii="標楷體" w:eastAsia="標楷體" w:hAnsi="標楷體"/>
                <w:sz w:val="20"/>
                <w:szCs w:val="20"/>
              </w:rPr>
              <w:t>-2</w:t>
            </w:r>
            <w:r w:rsidRPr="00851282">
              <w:rPr>
                <w:rFonts w:ascii="標楷體" w:eastAsia="標楷體" w:hAnsi="標楷體" w:hint="eastAsia"/>
                <w:sz w:val="20"/>
                <w:szCs w:val="20"/>
              </w:rPr>
              <w:t>透過與同儕的討論，分享科學發現的樂趣。</w:t>
            </w:r>
          </w:p>
          <w:p w14:paraId="1A9B70AB"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ai-Ⅳ-3透過所學到的科學知識和科學探索的各種方法，解釋自然現象發生的原因，建立科學學習的自信心。</w:t>
            </w:r>
          </w:p>
          <w:p w14:paraId="42D97D30"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ah -Ⅳ-2 應用所學到的科學知識與科學探究方法幫助自己做出最佳的決定。</w:t>
            </w:r>
          </w:p>
          <w:p w14:paraId="34949309" w14:textId="2CA467C4"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an-Ⅳ-1察覺到科學的觀察、測量和方法是否具有正當性是受到社會共同建構的標準所規範。</w:t>
            </w:r>
          </w:p>
          <w:p w14:paraId="583E11E8" w14:textId="77777777" w:rsidR="00103984" w:rsidRPr="00851282" w:rsidRDefault="00103984"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pa-Ⅳ-1 能分析歸納、製作圖表、使用資訊及數學等方法，整理資訊或數據。</w:t>
            </w:r>
          </w:p>
          <w:p w14:paraId="5DAD9D25" w14:textId="3A2D8F10" w:rsidR="00F05DE0" w:rsidRPr="00851282" w:rsidRDefault="00103984"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pc-Ⅳ-2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tc>
        <w:tc>
          <w:tcPr>
            <w:tcW w:w="1843" w:type="dxa"/>
            <w:tcBorders>
              <w:top w:val="single" w:sz="4" w:space="0" w:color="auto"/>
              <w:bottom w:val="single" w:sz="4" w:space="0" w:color="auto"/>
            </w:tcBorders>
            <w:vAlign w:val="center"/>
          </w:tcPr>
          <w:p w14:paraId="6872861B" w14:textId="77777777" w:rsidR="00941DF3" w:rsidRDefault="00941DF3" w:rsidP="00941DF3">
            <w:pPr>
              <w:jc w:val="center"/>
            </w:pPr>
            <w:r>
              <w:rPr>
                <w:rFonts w:asciiTheme="minorEastAsia" w:hAnsiTheme="minorEastAsia" w:hint="eastAsia"/>
              </w:rPr>
              <w:lastRenderedPageBreak/>
              <w:t>▓</w:t>
            </w:r>
            <w:r>
              <w:rPr>
                <w:rFonts w:hint="eastAsia"/>
              </w:rPr>
              <w:t>加深</w:t>
            </w:r>
          </w:p>
          <w:p w14:paraId="0C8FA8B5" w14:textId="77777777" w:rsidR="00941DF3" w:rsidRDefault="00941DF3" w:rsidP="00941DF3">
            <w:pPr>
              <w:jc w:val="center"/>
            </w:pPr>
            <w:r>
              <w:rPr>
                <w:rFonts w:asciiTheme="minorEastAsia" w:hAnsiTheme="minorEastAsia" w:hint="eastAsia"/>
              </w:rPr>
              <w:t>▓</w:t>
            </w:r>
            <w:r>
              <w:rPr>
                <w:rFonts w:hint="eastAsia"/>
              </w:rPr>
              <w:t>加廣</w:t>
            </w:r>
          </w:p>
          <w:p w14:paraId="7E47D4A2" w14:textId="77777777" w:rsidR="004741AD" w:rsidRDefault="00941DF3" w:rsidP="00941DF3">
            <w:pPr>
              <w:jc w:val="center"/>
            </w:pPr>
            <w:r>
              <w:rPr>
                <w:rFonts w:asciiTheme="minorEastAsia" w:hAnsiTheme="minorEastAsia" w:hint="eastAsia"/>
              </w:rPr>
              <w:lastRenderedPageBreak/>
              <w:t>□</w:t>
            </w:r>
            <w:r>
              <w:rPr>
                <w:rFonts w:hint="eastAsia"/>
              </w:rPr>
              <w:t>加速</w:t>
            </w:r>
          </w:p>
          <w:p w14:paraId="7641183C" w14:textId="77777777" w:rsidR="00757B82" w:rsidRDefault="00E51A41" w:rsidP="00941DF3">
            <w:pPr>
              <w:jc w:val="center"/>
            </w:pPr>
            <w:r>
              <w:rPr>
                <w:rFonts w:hint="eastAsia"/>
              </w:rPr>
              <w:t>補充實驗：</w:t>
            </w:r>
          </w:p>
          <w:p w14:paraId="711EB989" w14:textId="42C0B734" w:rsidR="00757B82" w:rsidRDefault="00FA0567" w:rsidP="00757B82">
            <w:pPr>
              <w:pStyle w:val="a8"/>
              <w:numPr>
                <w:ilvl w:val="0"/>
                <w:numId w:val="9"/>
              </w:numPr>
              <w:ind w:leftChars="0"/>
              <w:jc w:val="center"/>
            </w:pPr>
            <w:r w:rsidRPr="00FA0567">
              <w:rPr>
                <w:rFonts w:hint="eastAsia"/>
              </w:rPr>
              <w:t>柑橘水母</w:t>
            </w:r>
          </w:p>
          <w:p w14:paraId="2297AA41" w14:textId="57C9BB2E" w:rsidR="00E51A41" w:rsidRDefault="00757B82" w:rsidP="00757B82">
            <w:pPr>
              <w:pStyle w:val="a8"/>
              <w:numPr>
                <w:ilvl w:val="0"/>
                <w:numId w:val="9"/>
              </w:numPr>
              <w:ind w:leftChars="0"/>
              <w:jc w:val="center"/>
            </w:pPr>
            <w:r w:rsidRPr="00757B82">
              <w:rPr>
                <w:rFonts w:hint="eastAsia"/>
              </w:rPr>
              <w:t>體驗雞的心臟的構造與認識血管與血流</w:t>
            </w:r>
          </w:p>
          <w:p w14:paraId="24B5437D" w14:textId="03C7C9DC" w:rsidR="00757B82" w:rsidRPr="00757B82" w:rsidRDefault="00757B82" w:rsidP="00757B82">
            <w:pPr>
              <w:pStyle w:val="a8"/>
              <w:numPr>
                <w:ilvl w:val="0"/>
                <w:numId w:val="7"/>
              </w:numPr>
              <w:spacing w:line="240" w:lineRule="exact"/>
              <w:ind w:leftChars="0"/>
            </w:pPr>
          </w:p>
        </w:tc>
        <w:tc>
          <w:tcPr>
            <w:tcW w:w="1276" w:type="dxa"/>
            <w:tcBorders>
              <w:top w:val="single" w:sz="4" w:space="0" w:color="auto"/>
              <w:bottom w:val="single" w:sz="4" w:space="0" w:color="auto"/>
            </w:tcBorders>
            <w:vAlign w:val="center"/>
          </w:tcPr>
          <w:p w14:paraId="58EAD6F8" w14:textId="77777777" w:rsidR="002C66D6" w:rsidRDefault="002C66D6" w:rsidP="002C66D6">
            <w:pPr>
              <w:jc w:val="center"/>
            </w:pPr>
            <w:r>
              <w:rPr>
                <w:rFonts w:hint="eastAsia"/>
              </w:rPr>
              <w:lastRenderedPageBreak/>
              <w:t>口頭發表</w:t>
            </w:r>
          </w:p>
          <w:p w14:paraId="4445C9A7" w14:textId="77777777" w:rsidR="002C66D6" w:rsidRDefault="002C66D6" w:rsidP="002C66D6">
            <w:pPr>
              <w:jc w:val="center"/>
            </w:pPr>
            <w:r>
              <w:rPr>
                <w:rFonts w:hint="eastAsia"/>
              </w:rPr>
              <w:t>實驗</w:t>
            </w:r>
          </w:p>
          <w:p w14:paraId="4455D22D" w14:textId="77777777" w:rsidR="004741AD" w:rsidRDefault="002C66D6" w:rsidP="002C66D6">
            <w:pPr>
              <w:jc w:val="center"/>
            </w:pPr>
            <w:r>
              <w:rPr>
                <w:rFonts w:hint="eastAsia"/>
              </w:rPr>
              <w:lastRenderedPageBreak/>
              <w:t>紙筆測驗</w:t>
            </w:r>
          </w:p>
        </w:tc>
        <w:tc>
          <w:tcPr>
            <w:tcW w:w="3401" w:type="dxa"/>
            <w:tcBorders>
              <w:top w:val="single" w:sz="4" w:space="0" w:color="auto"/>
              <w:bottom w:val="single" w:sz="4" w:space="0" w:color="auto"/>
            </w:tcBorders>
            <w:vAlign w:val="center"/>
          </w:tcPr>
          <w:p w14:paraId="6F61CCE1" w14:textId="15FDCAF4" w:rsidR="00E53F73" w:rsidRDefault="00E53F73" w:rsidP="00E53F73">
            <w:pPr>
              <w:pStyle w:val="a8"/>
              <w:ind w:leftChars="0" w:left="360"/>
            </w:pPr>
          </w:p>
          <w:p w14:paraId="445FA5D1" w14:textId="24691F17" w:rsidR="00E53F73" w:rsidRDefault="00E53F73" w:rsidP="00E53F73">
            <w:pPr>
              <w:pStyle w:val="a8"/>
              <w:ind w:leftChars="0" w:left="360"/>
            </w:pPr>
          </w:p>
          <w:p w14:paraId="6FDA78DD" w14:textId="2B5BA960" w:rsidR="00E53F73" w:rsidRDefault="00E53F73" w:rsidP="00E53F73">
            <w:pPr>
              <w:pStyle w:val="a8"/>
              <w:ind w:leftChars="0" w:left="360"/>
            </w:pPr>
          </w:p>
          <w:p w14:paraId="767DA1B6" w14:textId="06FF9445" w:rsidR="00E53F73" w:rsidRDefault="00E53F73" w:rsidP="00E53F73">
            <w:pPr>
              <w:pStyle w:val="a8"/>
              <w:numPr>
                <w:ilvl w:val="0"/>
                <w:numId w:val="3"/>
              </w:numPr>
              <w:ind w:leftChars="0"/>
            </w:pPr>
            <w:r w:rsidRPr="00E53F73">
              <w:rPr>
                <w:rFonts w:hint="eastAsia"/>
              </w:rPr>
              <w:t>了解植物體內水分的運輸過程以及運輸水分的構造。</w:t>
            </w:r>
          </w:p>
          <w:p w14:paraId="534D120C" w14:textId="35FABE42" w:rsidR="006C6370" w:rsidRDefault="006C6370" w:rsidP="006C6370">
            <w:pPr>
              <w:pStyle w:val="a8"/>
              <w:numPr>
                <w:ilvl w:val="0"/>
                <w:numId w:val="3"/>
              </w:numPr>
              <w:ind w:leftChars="0"/>
            </w:pPr>
            <w:r>
              <w:rPr>
                <w:rFonts w:hint="eastAsia"/>
              </w:rPr>
              <w:t>了解心臟的位置、構造及心臟的搏動是血液流動的原動力。</w:t>
            </w:r>
          </w:p>
          <w:p w14:paraId="06DEF0D6" w14:textId="4BD55C91" w:rsidR="006C6370" w:rsidRDefault="006C6370" w:rsidP="006C6370">
            <w:pPr>
              <w:pStyle w:val="a8"/>
              <w:numPr>
                <w:ilvl w:val="0"/>
                <w:numId w:val="3"/>
              </w:numPr>
              <w:ind w:leftChars="0"/>
            </w:pPr>
            <w:r w:rsidRPr="006C6370">
              <w:rPr>
                <w:rFonts w:hint="eastAsia"/>
              </w:rPr>
              <w:t>知道人體的血液循環可分為肺循環和體循環，並分析比較兩者的途徑和作用。</w:t>
            </w:r>
          </w:p>
          <w:p w14:paraId="3BBAC45D" w14:textId="30AD63EB" w:rsidR="006C6370" w:rsidRDefault="006C6370" w:rsidP="006C6370">
            <w:pPr>
              <w:pStyle w:val="a8"/>
              <w:numPr>
                <w:ilvl w:val="0"/>
                <w:numId w:val="3"/>
              </w:numPr>
              <w:ind w:leftChars="0"/>
              <w:jc w:val="center"/>
            </w:pPr>
            <w:r>
              <w:rPr>
                <w:rFonts w:hint="eastAsia"/>
              </w:rPr>
              <w:t>了解淋巴循環系統組成，並比較淋巴、組織液和血液的不同。</w:t>
            </w:r>
          </w:p>
          <w:p w14:paraId="51EA1166" w14:textId="1BAA59DD" w:rsidR="006C6370" w:rsidRDefault="006C6370" w:rsidP="006C6370">
            <w:pPr>
              <w:pStyle w:val="a8"/>
              <w:numPr>
                <w:ilvl w:val="0"/>
                <w:numId w:val="3"/>
              </w:numPr>
              <w:ind w:leftChars="0"/>
              <w:jc w:val="center"/>
            </w:pPr>
            <w:r>
              <w:rPr>
                <w:rFonts w:hint="eastAsia"/>
              </w:rPr>
              <w:t>了解淋巴系統的功能，包括人體的防禦作用。</w:t>
            </w:r>
          </w:p>
          <w:p w14:paraId="2E95701C" w14:textId="77777777" w:rsidR="00E53F73" w:rsidRDefault="006C6370" w:rsidP="00E53F73">
            <w:pPr>
              <w:pStyle w:val="a8"/>
              <w:numPr>
                <w:ilvl w:val="0"/>
                <w:numId w:val="3"/>
              </w:numPr>
              <w:ind w:leftChars="0"/>
            </w:pPr>
            <w:r>
              <w:rPr>
                <w:rFonts w:hint="eastAsia"/>
              </w:rPr>
              <w:t>了解非專一性防禦包括皮膜屏障、吞噬作用和發炎反應，並理解皮膜屏障是身體第一道防線。</w:t>
            </w:r>
          </w:p>
          <w:p w14:paraId="2B6CDF44" w14:textId="701D4964" w:rsidR="004741AD" w:rsidRDefault="00E53F73" w:rsidP="00E53F73">
            <w:pPr>
              <w:pStyle w:val="a8"/>
              <w:numPr>
                <w:ilvl w:val="0"/>
                <w:numId w:val="3"/>
              </w:numPr>
              <w:ind w:leftChars="0"/>
            </w:pPr>
            <w:r>
              <w:rPr>
                <w:rFonts w:hint="eastAsia"/>
              </w:rPr>
              <w:t>能</w:t>
            </w:r>
            <w:r w:rsidR="006C6370">
              <w:rPr>
                <w:rFonts w:hint="eastAsia"/>
              </w:rPr>
              <w:t>解釋</w:t>
            </w:r>
            <w:r>
              <w:rPr>
                <w:rFonts w:hint="eastAsia"/>
              </w:rPr>
              <w:t>預防注射</w:t>
            </w:r>
            <w:r w:rsidR="006C6370">
              <w:rPr>
                <w:rFonts w:hint="eastAsia"/>
              </w:rPr>
              <w:t>疫苗的預防原理</w:t>
            </w:r>
            <w:r w:rsidRPr="00E53F73">
              <w:rPr>
                <w:rFonts w:asciiTheme="minorEastAsia" w:hAnsiTheme="minorEastAsia" w:hint="eastAsia"/>
              </w:rPr>
              <w:t>。</w:t>
            </w:r>
          </w:p>
        </w:tc>
      </w:tr>
      <w:tr w:rsidR="004741AD" w14:paraId="00FFA708" w14:textId="77777777" w:rsidTr="006C0F25">
        <w:tc>
          <w:tcPr>
            <w:tcW w:w="1384" w:type="dxa"/>
            <w:tcBorders>
              <w:top w:val="single" w:sz="4" w:space="0" w:color="auto"/>
              <w:bottom w:val="single" w:sz="4" w:space="0" w:color="auto"/>
            </w:tcBorders>
            <w:vAlign w:val="center"/>
          </w:tcPr>
          <w:p w14:paraId="45EAAC70" w14:textId="77777777" w:rsidR="004741AD" w:rsidRDefault="004741AD" w:rsidP="00941DF3">
            <w:pPr>
              <w:jc w:val="center"/>
              <w:rPr>
                <w:sz w:val="36"/>
              </w:rPr>
            </w:pPr>
            <w:r w:rsidRPr="00941DF3">
              <w:rPr>
                <w:rFonts w:hint="eastAsia"/>
                <w:sz w:val="36"/>
              </w:rPr>
              <w:lastRenderedPageBreak/>
              <w:t>5</w:t>
            </w:r>
          </w:p>
          <w:p w14:paraId="366572D4" w14:textId="6B62B30A" w:rsidR="00344828" w:rsidRPr="00941DF3" w:rsidRDefault="006C0F25" w:rsidP="00941DF3">
            <w:pPr>
              <w:jc w:val="center"/>
              <w:rPr>
                <w:sz w:val="36"/>
              </w:rPr>
            </w:pPr>
            <w:r w:rsidRPr="006C0F25">
              <w:rPr>
                <w:rFonts w:hint="eastAsia"/>
                <w:sz w:val="36"/>
              </w:rPr>
              <w:t>生物體的協調</w:t>
            </w:r>
            <w:r w:rsidRPr="006C0F25">
              <w:rPr>
                <w:rFonts w:hint="eastAsia"/>
                <w:sz w:val="36"/>
              </w:rPr>
              <w:lastRenderedPageBreak/>
              <w:t>作用</w:t>
            </w:r>
          </w:p>
        </w:tc>
        <w:tc>
          <w:tcPr>
            <w:tcW w:w="2693" w:type="dxa"/>
          </w:tcPr>
          <w:p w14:paraId="68A3F1B9" w14:textId="77777777" w:rsidR="006C0F25" w:rsidRPr="00851282" w:rsidRDefault="006C0F25"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lastRenderedPageBreak/>
              <w:t>tr-Ⅳ-1:能將所習得的知識正確的連結到所觀察到的自然現象及實驗數據，並推論出其中的關聯，進而運用習得的知識來解釋自己論點的正確性。</w:t>
            </w:r>
          </w:p>
          <w:p w14:paraId="747D3E2A" w14:textId="77777777" w:rsidR="006C0F25" w:rsidRPr="00851282" w:rsidRDefault="006C0F25"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pe-Ⅳ-2:能正確安全操作適合學習階段的物品、器材儀器、科技設備及資源。能進行客觀的質性觀察或數值量測並詳實記錄。</w:t>
            </w:r>
          </w:p>
          <w:p w14:paraId="03C6CA0C" w14:textId="77777777" w:rsidR="006C0F25" w:rsidRPr="00851282" w:rsidRDefault="006C0F25"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lastRenderedPageBreak/>
              <w:t>pa-Ⅳ-2: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7C41DA57" w14:textId="77777777" w:rsidR="006C0F25" w:rsidRPr="00851282" w:rsidRDefault="006C0F25"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ai-Ⅳ-1:動手實作解決問題或驗證自己想法，而獲得成就感。</w:t>
            </w:r>
          </w:p>
          <w:p w14:paraId="05622D5A" w14:textId="77777777" w:rsidR="006C0F25" w:rsidRPr="00851282" w:rsidRDefault="006C0F25" w:rsidP="00851282">
            <w:pPr>
              <w:spacing w:line="240" w:lineRule="exact"/>
              <w:rPr>
                <w:rFonts w:ascii="標楷體" w:eastAsia="標楷體" w:hAnsi="標楷體"/>
                <w:sz w:val="20"/>
                <w:szCs w:val="20"/>
              </w:rPr>
            </w:pPr>
            <w:r w:rsidRPr="00851282">
              <w:rPr>
                <w:rFonts w:ascii="標楷體" w:eastAsia="標楷體" w:hAnsi="標楷體" w:hint="eastAsia"/>
                <w:sz w:val="20"/>
                <w:szCs w:val="20"/>
              </w:rPr>
              <w:t>ah-Ⅳ-1:對於有關科學發現的報導，甚至權威的解釋（例如：報章雜誌的報導或書本上的解釋），能抱持懷疑的態度，評估其推論的證據是否充分且可信賴。</w:t>
            </w:r>
          </w:p>
          <w:p w14:paraId="6C506A17" w14:textId="22727EFC" w:rsidR="002C66D6" w:rsidRDefault="006C0F25" w:rsidP="00851282">
            <w:pPr>
              <w:spacing w:line="240" w:lineRule="exact"/>
            </w:pPr>
            <w:r w:rsidRPr="00851282">
              <w:rPr>
                <w:rFonts w:ascii="標楷體" w:eastAsia="標楷體" w:hAnsi="標楷體" w:hint="eastAsia"/>
                <w:sz w:val="20"/>
                <w:szCs w:val="20"/>
              </w:rPr>
              <w:t>ah-Ⅳ-2:應用所學到的科學知識與科學探究方法，幫助自己做出最佳的決定。</w:t>
            </w:r>
          </w:p>
        </w:tc>
        <w:tc>
          <w:tcPr>
            <w:tcW w:w="1843" w:type="dxa"/>
            <w:tcBorders>
              <w:top w:val="single" w:sz="4" w:space="0" w:color="auto"/>
              <w:bottom w:val="single" w:sz="4" w:space="0" w:color="auto"/>
            </w:tcBorders>
            <w:vAlign w:val="center"/>
          </w:tcPr>
          <w:p w14:paraId="6402D8E8" w14:textId="77777777" w:rsidR="002C66D6" w:rsidRDefault="002C66D6" w:rsidP="002C66D6">
            <w:pPr>
              <w:jc w:val="center"/>
            </w:pPr>
            <w:r>
              <w:rPr>
                <w:rFonts w:asciiTheme="minorEastAsia" w:hAnsiTheme="minorEastAsia" w:hint="eastAsia"/>
              </w:rPr>
              <w:lastRenderedPageBreak/>
              <w:t>□</w:t>
            </w:r>
            <w:r>
              <w:rPr>
                <w:rFonts w:hint="eastAsia"/>
              </w:rPr>
              <w:t>加深</w:t>
            </w:r>
          </w:p>
          <w:p w14:paraId="5C48337E" w14:textId="77777777" w:rsidR="002C66D6" w:rsidRDefault="00941DF3" w:rsidP="002C66D6">
            <w:pPr>
              <w:jc w:val="center"/>
            </w:pPr>
            <w:r>
              <w:rPr>
                <w:rFonts w:asciiTheme="minorEastAsia" w:hAnsiTheme="minorEastAsia" w:hint="eastAsia"/>
              </w:rPr>
              <w:t>▓</w:t>
            </w:r>
            <w:r w:rsidR="002C66D6">
              <w:rPr>
                <w:rFonts w:hint="eastAsia"/>
              </w:rPr>
              <w:t>加廣</w:t>
            </w:r>
          </w:p>
          <w:p w14:paraId="58EC423D" w14:textId="77777777" w:rsidR="004741AD" w:rsidRDefault="00941DF3" w:rsidP="002C66D6">
            <w:pPr>
              <w:jc w:val="center"/>
            </w:pPr>
            <w:r>
              <w:rPr>
                <w:rFonts w:asciiTheme="minorEastAsia" w:hAnsiTheme="minorEastAsia" w:hint="eastAsia"/>
              </w:rPr>
              <w:t>▓</w:t>
            </w:r>
            <w:r w:rsidR="002C66D6">
              <w:rPr>
                <w:rFonts w:hint="eastAsia"/>
              </w:rPr>
              <w:t>加速</w:t>
            </w:r>
          </w:p>
        </w:tc>
        <w:tc>
          <w:tcPr>
            <w:tcW w:w="1276" w:type="dxa"/>
            <w:tcBorders>
              <w:top w:val="single" w:sz="4" w:space="0" w:color="auto"/>
              <w:bottom w:val="single" w:sz="4" w:space="0" w:color="auto"/>
            </w:tcBorders>
            <w:vAlign w:val="center"/>
          </w:tcPr>
          <w:p w14:paraId="7AB5F35A" w14:textId="77777777" w:rsidR="002C66D6" w:rsidRDefault="002C66D6" w:rsidP="002C66D6">
            <w:pPr>
              <w:jc w:val="center"/>
            </w:pPr>
            <w:r>
              <w:rPr>
                <w:rFonts w:hint="eastAsia"/>
              </w:rPr>
              <w:t>口頭發表</w:t>
            </w:r>
          </w:p>
          <w:p w14:paraId="3145B1B1" w14:textId="77777777" w:rsidR="004741AD" w:rsidRDefault="002C66D6" w:rsidP="002C66D6">
            <w:pPr>
              <w:jc w:val="center"/>
            </w:pPr>
            <w:r>
              <w:rPr>
                <w:rFonts w:hint="eastAsia"/>
              </w:rPr>
              <w:t>紙筆測驗</w:t>
            </w:r>
          </w:p>
        </w:tc>
        <w:tc>
          <w:tcPr>
            <w:tcW w:w="3401" w:type="dxa"/>
            <w:tcBorders>
              <w:top w:val="single" w:sz="4" w:space="0" w:color="auto"/>
              <w:bottom w:val="single" w:sz="4" w:space="0" w:color="auto"/>
            </w:tcBorders>
            <w:vAlign w:val="center"/>
          </w:tcPr>
          <w:p w14:paraId="03F33EB5" w14:textId="659656E7" w:rsidR="006C6370" w:rsidRDefault="006C6370" w:rsidP="006C6370">
            <w:r>
              <w:t>1</w:t>
            </w:r>
            <w:r w:rsidRPr="006C6370">
              <w:rPr>
                <w:rFonts w:hint="eastAsia"/>
              </w:rPr>
              <w:t>.</w:t>
            </w:r>
            <w:r w:rsidRPr="006C6370">
              <w:rPr>
                <w:rFonts w:hint="eastAsia"/>
              </w:rPr>
              <w:t>了解人體神經系統組成、位置和基本功能。</w:t>
            </w:r>
          </w:p>
          <w:p w14:paraId="679F3043" w14:textId="496D5F71" w:rsidR="006C6370" w:rsidRDefault="006C6370" w:rsidP="006C6370">
            <w:r>
              <w:rPr>
                <w:rFonts w:hint="eastAsia"/>
              </w:rPr>
              <w:t>2.</w:t>
            </w:r>
            <w:r>
              <w:rPr>
                <w:rFonts w:hint="eastAsia"/>
              </w:rPr>
              <w:t>能說明內分泌系統的特徵及作用方式。</w:t>
            </w:r>
          </w:p>
          <w:p w14:paraId="610B62B7" w14:textId="77777777" w:rsidR="006C6370" w:rsidRDefault="006C6370" w:rsidP="006C6370">
            <w:r>
              <w:rPr>
                <w:rFonts w:hint="eastAsia"/>
              </w:rPr>
              <w:t>3.</w:t>
            </w:r>
            <w:r>
              <w:rPr>
                <w:rFonts w:hint="eastAsia"/>
              </w:rPr>
              <w:t>了解人體內分泌系統的功能。</w:t>
            </w:r>
          </w:p>
          <w:p w14:paraId="0CD6E14C" w14:textId="77777777" w:rsidR="006C6370" w:rsidRDefault="006C6370" w:rsidP="006C6370">
            <w:r>
              <w:rPr>
                <w:rFonts w:hint="eastAsia"/>
              </w:rPr>
              <w:t>4.</w:t>
            </w:r>
            <w:r>
              <w:rPr>
                <w:rFonts w:hint="eastAsia"/>
              </w:rPr>
              <w:t>了解協調作用藉神經系統和</w:t>
            </w:r>
            <w:r>
              <w:rPr>
                <w:rFonts w:hint="eastAsia"/>
              </w:rPr>
              <w:lastRenderedPageBreak/>
              <w:t>內分泌系統完成。</w:t>
            </w:r>
          </w:p>
          <w:p w14:paraId="6A5D840E" w14:textId="77777777" w:rsidR="006C6370" w:rsidRDefault="006C6370" w:rsidP="006C6370">
            <w:r>
              <w:rPr>
                <w:rFonts w:hint="eastAsia"/>
              </w:rPr>
              <w:t>5.</w:t>
            </w:r>
            <w:r>
              <w:rPr>
                <w:rFonts w:hint="eastAsia"/>
              </w:rPr>
              <w:t>能比較神經系統與內分泌系統的差異。了解向性的現象與作用方式。</w:t>
            </w:r>
          </w:p>
          <w:p w14:paraId="209FF397" w14:textId="2C40D90E" w:rsidR="006C6370" w:rsidRDefault="006C6370" w:rsidP="006C6370">
            <w:r>
              <w:t>7</w:t>
            </w:r>
            <w:r>
              <w:rPr>
                <w:rFonts w:hint="eastAsia"/>
              </w:rPr>
              <w:t xml:space="preserve">. </w:t>
            </w:r>
            <w:r>
              <w:rPr>
                <w:rFonts w:hint="eastAsia"/>
              </w:rPr>
              <w:t>能說明影響植物各種生理現象的因素</w:t>
            </w:r>
            <w:r>
              <w:rPr>
                <w:rFonts w:hint="eastAsia"/>
              </w:rPr>
              <w:t>:</w:t>
            </w:r>
            <w:r>
              <w:rPr>
                <w:rFonts w:hint="eastAsia"/>
              </w:rPr>
              <w:t>觸發運動、捕蟲運動及睡眠運動。</w:t>
            </w:r>
          </w:p>
          <w:p w14:paraId="59BE9FA7" w14:textId="4ED3C30E" w:rsidR="004741AD" w:rsidRDefault="004741AD" w:rsidP="006C6370"/>
        </w:tc>
      </w:tr>
      <w:tr w:rsidR="006C0F25" w14:paraId="1A0127FE" w14:textId="77777777" w:rsidTr="006C0F25">
        <w:tc>
          <w:tcPr>
            <w:tcW w:w="1384" w:type="dxa"/>
            <w:tcBorders>
              <w:top w:val="single" w:sz="4" w:space="0" w:color="auto"/>
              <w:bottom w:val="single" w:sz="4" w:space="0" w:color="auto"/>
            </w:tcBorders>
            <w:vAlign w:val="center"/>
          </w:tcPr>
          <w:p w14:paraId="70EE00E0" w14:textId="77777777" w:rsidR="006C0F25" w:rsidRDefault="006C0F25" w:rsidP="006C0F25">
            <w:pPr>
              <w:jc w:val="center"/>
              <w:rPr>
                <w:sz w:val="36"/>
              </w:rPr>
            </w:pPr>
            <w:r>
              <w:rPr>
                <w:rFonts w:hint="eastAsia"/>
                <w:sz w:val="36"/>
              </w:rPr>
              <w:lastRenderedPageBreak/>
              <w:t>6</w:t>
            </w:r>
          </w:p>
          <w:p w14:paraId="1BB2D7BD" w14:textId="75A48B5B" w:rsidR="006C0F25" w:rsidRPr="004E5FAC" w:rsidRDefault="006C0F25" w:rsidP="006C0F25">
            <w:pPr>
              <w:jc w:val="center"/>
              <w:rPr>
                <w:rFonts w:asciiTheme="minorEastAsia" w:hAnsiTheme="minorEastAsia"/>
                <w:bCs/>
                <w:sz w:val="36"/>
                <w:szCs w:val="36"/>
              </w:rPr>
            </w:pPr>
            <w:r w:rsidRPr="004E5FAC">
              <w:rPr>
                <w:rFonts w:asciiTheme="minorEastAsia" w:hAnsiTheme="minorEastAsia" w:hint="eastAsia"/>
                <w:bCs/>
                <w:sz w:val="36"/>
                <w:szCs w:val="36"/>
              </w:rPr>
              <w:t>生物體內的恆定</w:t>
            </w:r>
          </w:p>
        </w:tc>
        <w:tc>
          <w:tcPr>
            <w:tcW w:w="2693" w:type="dxa"/>
          </w:tcPr>
          <w:p w14:paraId="07482FB4" w14:textId="77777777" w:rsidR="00851282" w:rsidRDefault="00851282" w:rsidP="00851282">
            <w:r>
              <w:t>tr-IV-1</w:t>
            </w:r>
            <w:r>
              <w:rPr>
                <w:rFonts w:hint="eastAsia"/>
              </w:rPr>
              <w:t>能將所習得的知識正確的連結到所觀察到的自然現象及實驗數據，並推論出其中的關聯，進而運用習得的知識來解釋自己論點的正確性。</w:t>
            </w:r>
          </w:p>
          <w:p w14:paraId="775AB3A6" w14:textId="77777777" w:rsidR="00851282" w:rsidRDefault="00851282" w:rsidP="00851282">
            <w:r>
              <w:t>po-</w:t>
            </w:r>
            <w:r>
              <w:rPr>
                <w:rFonts w:hint="eastAsia"/>
              </w:rPr>
              <w:t>Ⅳ</w:t>
            </w:r>
            <w:r>
              <w:t>-1</w:t>
            </w:r>
            <w:r>
              <w:rPr>
                <w:rFonts w:hint="eastAsia"/>
              </w:rPr>
              <w:t>能從學習活動、日常經驗及科技運用、自然環境、書刊及網路媒體中，進行各種有計畫的觀察，進而能察覺問題。</w:t>
            </w:r>
          </w:p>
          <w:p w14:paraId="6DAAEE66" w14:textId="77777777" w:rsidR="00851282" w:rsidRDefault="00851282" w:rsidP="00851282">
            <w:r>
              <w:rPr>
                <w:rFonts w:hint="eastAsia"/>
              </w:rPr>
              <w:t>ai-</w:t>
            </w:r>
            <w:r>
              <w:rPr>
                <w:rFonts w:hint="eastAsia"/>
              </w:rPr>
              <w:t>Ⅳ</w:t>
            </w:r>
            <w:r>
              <w:rPr>
                <w:rFonts w:hint="eastAsia"/>
              </w:rPr>
              <w:t xml:space="preserve">-3 </w:t>
            </w:r>
            <w:r>
              <w:rPr>
                <w:rFonts w:hint="eastAsia"/>
              </w:rPr>
              <w:t>透過所學到的科學知識和科學探索的各種方法，解釋自然現象發生的原因，建立科學學習的自信心。</w:t>
            </w:r>
          </w:p>
          <w:p w14:paraId="370B1E70" w14:textId="5188AC13" w:rsidR="006C0F25" w:rsidRPr="00851282" w:rsidRDefault="00851282" w:rsidP="00851282">
            <w:pPr>
              <w:rPr>
                <w:rFonts w:ascii="標楷體" w:eastAsia="標楷體" w:hAnsi="標楷體"/>
              </w:rPr>
            </w:pPr>
            <w:r>
              <w:t>ah-</w:t>
            </w:r>
            <w:r>
              <w:rPr>
                <w:rFonts w:hint="eastAsia"/>
              </w:rPr>
              <w:t>Ⅳ</w:t>
            </w:r>
            <w:r>
              <w:t xml:space="preserve">-1 </w:t>
            </w:r>
            <w:r>
              <w:rPr>
                <w:rFonts w:hint="eastAsia"/>
              </w:rPr>
              <w:t>對於有關科學發現的報導，甚至權威的解釋（例如：報章雜誌的報導或書本上的解釋），能抱持懷疑的態度，評估其推論的證據是否充分且可信賴。</w:t>
            </w:r>
          </w:p>
        </w:tc>
        <w:tc>
          <w:tcPr>
            <w:tcW w:w="1843" w:type="dxa"/>
            <w:tcBorders>
              <w:top w:val="single" w:sz="4" w:space="0" w:color="auto"/>
              <w:bottom w:val="single" w:sz="4" w:space="0" w:color="auto"/>
            </w:tcBorders>
            <w:vAlign w:val="center"/>
          </w:tcPr>
          <w:p w14:paraId="0E03F3B3" w14:textId="77777777" w:rsidR="006C0F25" w:rsidRDefault="006C0F25" w:rsidP="006C0F25">
            <w:pPr>
              <w:jc w:val="center"/>
            </w:pPr>
            <w:r>
              <w:rPr>
                <w:rFonts w:asciiTheme="minorEastAsia" w:hAnsiTheme="minorEastAsia" w:hint="eastAsia"/>
              </w:rPr>
              <w:t>□</w:t>
            </w:r>
            <w:r>
              <w:rPr>
                <w:rFonts w:hint="eastAsia"/>
              </w:rPr>
              <w:t>加深</w:t>
            </w:r>
          </w:p>
          <w:p w14:paraId="48A8D479" w14:textId="77777777" w:rsidR="006C0F25" w:rsidRDefault="006C0F25" w:rsidP="006C0F25">
            <w:pPr>
              <w:jc w:val="center"/>
            </w:pPr>
            <w:r>
              <w:rPr>
                <w:rFonts w:asciiTheme="minorEastAsia" w:hAnsiTheme="minorEastAsia" w:hint="eastAsia"/>
              </w:rPr>
              <w:t>▓</w:t>
            </w:r>
            <w:r>
              <w:rPr>
                <w:rFonts w:hint="eastAsia"/>
              </w:rPr>
              <w:t>加廣</w:t>
            </w:r>
          </w:p>
          <w:p w14:paraId="409B920B" w14:textId="0FEBF383" w:rsidR="006C0F25" w:rsidRDefault="006C0F25" w:rsidP="006C0F25">
            <w:pPr>
              <w:jc w:val="center"/>
              <w:rPr>
                <w:rFonts w:asciiTheme="minorEastAsia" w:hAnsiTheme="minorEastAsia"/>
              </w:rPr>
            </w:pPr>
            <w:r>
              <w:rPr>
                <w:rFonts w:asciiTheme="minorEastAsia" w:hAnsiTheme="minorEastAsia" w:hint="eastAsia"/>
              </w:rPr>
              <w:t>▓</w:t>
            </w:r>
            <w:r>
              <w:rPr>
                <w:rFonts w:hint="eastAsia"/>
              </w:rPr>
              <w:t>加速</w:t>
            </w:r>
          </w:p>
        </w:tc>
        <w:tc>
          <w:tcPr>
            <w:tcW w:w="1276" w:type="dxa"/>
            <w:tcBorders>
              <w:top w:val="single" w:sz="4" w:space="0" w:color="auto"/>
              <w:bottom w:val="single" w:sz="4" w:space="0" w:color="auto"/>
            </w:tcBorders>
            <w:vAlign w:val="center"/>
          </w:tcPr>
          <w:p w14:paraId="69E99BFD" w14:textId="77777777" w:rsidR="006C0F25" w:rsidRDefault="006C0F25" w:rsidP="006C0F25">
            <w:pPr>
              <w:jc w:val="center"/>
            </w:pPr>
            <w:r>
              <w:rPr>
                <w:rFonts w:hint="eastAsia"/>
              </w:rPr>
              <w:t>口頭發表</w:t>
            </w:r>
          </w:p>
          <w:p w14:paraId="2B3E844B" w14:textId="421229FA" w:rsidR="006C0F25" w:rsidRDefault="006C0F25" w:rsidP="006C0F25">
            <w:pPr>
              <w:jc w:val="center"/>
            </w:pPr>
            <w:r>
              <w:rPr>
                <w:rFonts w:hint="eastAsia"/>
              </w:rPr>
              <w:t>紙筆測驗</w:t>
            </w:r>
          </w:p>
        </w:tc>
        <w:tc>
          <w:tcPr>
            <w:tcW w:w="3401" w:type="dxa"/>
            <w:tcBorders>
              <w:top w:val="single" w:sz="4" w:space="0" w:color="auto"/>
              <w:bottom w:val="single" w:sz="4" w:space="0" w:color="auto"/>
            </w:tcBorders>
            <w:vAlign w:val="center"/>
          </w:tcPr>
          <w:p w14:paraId="61F5B71B" w14:textId="78CB9240" w:rsidR="006C6370" w:rsidRDefault="006C0F25" w:rsidP="006C0F25">
            <w:r>
              <w:rPr>
                <w:rFonts w:hint="eastAsia"/>
              </w:rPr>
              <w:t>1.</w:t>
            </w:r>
            <w:r w:rsidR="006C6370">
              <w:rPr>
                <w:rFonts w:hint="eastAsia"/>
              </w:rPr>
              <w:t>了解血糖恆定對人體的重要性。</w:t>
            </w:r>
          </w:p>
          <w:p w14:paraId="5AE3C865" w14:textId="34B69949" w:rsidR="006C0F25" w:rsidRDefault="006C0F25" w:rsidP="006C0F25">
            <w:r>
              <w:rPr>
                <w:rFonts w:hint="eastAsia"/>
              </w:rPr>
              <w:t>2.</w:t>
            </w:r>
            <w:r w:rsidR="006C6370">
              <w:rPr>
                <w:rFonts w:hint="eastAsia"/>
              </w:rPr>
              <w:t>知道內分泌系統維持血糖恆定的作用模式。</w:t>
            </w:r>
          </w:p>
          <w:p w14:paraId="6F8BB0BE" w14:textId="5C235F0F" w:rsidR="006C0F25" w:rsidRDefault="006C0F25" w:rsidP="006C0F25">
            <w:r>
              <w:rPr>
                <w:rFonts w:hint="eastAsia"/>
              </w:rPr>
              <w:t>3.</w:t>
            </w:r>
            <w:r w:rsidR="006C6370">
              <w:rPr>
                <w:rFonts w:hint="eastAsia"/>
              </w:rPr>
              <w:t>知道呼吸作用的功能與重要性。</w:t>
            </w:r>
          </w:p>
          <w:p w14:paraId="5916BCE8" w14:textId="77777777" w:rsidR="006C6370" w:rsidRDefault="006C6370" w:rsidP="006C6370">
            <w:r>
              <w:rPr>
                <w:rFonts w:hint="eastAsia"/>
              </w:rPr>
              <w:t>4.</w:t>
            </w:r>
            <w:r>
              <w:rPr>
                <w:rFonts w:hint="eastAsia"/>
              </w:rPr>
              <w:t>了解人體的呼吸系統。</w:t>
            </w:r>
          </w:p>
          <w:p w14:paraId="585A02B2" w14:textId="54029E9C" w:rsidR="006C6370" w:rsidRDefault="006C6370" w:rsidP="006C6370">
            <w:r>
              <w:rPr>
                <w:rFonts w:hint="eastAsia"/>
              </w:rPr>
              <w:t>5.</w:t>
            </w:r>
            <w:r>
              <w:rPr>
                <w:rFonts w:hint="eastAsia"/>
              </w:rPr>
              <w:t>了解呼吸運動與呼吸作用的差異。</w:t>
            </w:r>
          </w:p>
          <w:p w14:paraId="10264E85" w14:textId="038BB08D" w:rsidR="006C6370" w:rsidRDefault="006C6370" w:rsidP="006C6370">
            <w:r>
              <w:rPr>
                <w:rFonts w:hint="eastAsia"/>
              </w:rPr>
              <w:t>6.</w:t>
            </w:r>
            <w:r>
              <w:rPr>
                <w:rFonts w:hint="eastAsia"/>
              </w:rPr>
              <w:t>知道排泄作用的意義。</w:t>
            </w:r>
          </w:p>
          <w:p w14:paraId="1105B043" w14:textId="77777777" w:rsidR="006C6370" w:rsidRDefault="006C0F25" w:rsidP="006C0F25">
            <w:r>
              <w:rPr>
                <w:rFonts w:hint="eastAsia"/>
              </w:rPr>
              <w:t>7.</w:t>
            </w:r>
            <w:r>
              <w:rPr>
                <w:rFonts w:hint="eastAsia"/>
              </w:rPr>
              <w:t>比較不同生物維持水分恆定的方式。</w:t>
            </w:r>
          </w:p>
          <w:p w14:paraId="1865F1FD" w14:textId="368752B2" w:rsidR="006C0F25" w:rsidRDefault="006C6370" w:rsidP="006C0F25">
            <w:r>
              <w:rPr>
                <w:rFonts w:hint="eastAsia"/>
              </w:rPr>
              <w:t>8</w:t>
            </w:r>
            <w:r>
              <w:t>.</w:t>
            </w:r>
            <w:r>
              <w:rPr>
                <w:rFonts w:hint="eastAsia"/>
              </w:rPr>
              <w:t>了解人體的泌尿系統的器官及其功能。</w:t>
            </w:r>
          </w:p>
        </w:tc>
      </w:tr>
    </w:tbl>
    <w:p w14:paraId="65195C67" w14:textId="533B336F" w:rsidR="004741AD" w:rsidRDefault="002C66D6" w:rsidP="00D23445">
      <w:r>
        <w:rPr>
          <w:rFonts w:hint="eastAsia"/>
        </w:rPr>
        <w:t>評量結果：</w:t>
      </w:r>
      <w:r w:rsidR="00D80896">
        <w:rPr>
          <w:rFonts w:hint="eastAsia"/>
        </w:rPr>
        <w:t>A</w:t>
      </w:r>
      <w:r w:rsidR="00D80896" w:rsidRPr="00D80896">
        <w:rPr>
          <w:rFonts w:hint="eastAsia"/>
        </w:rPr>
        <w:t>通過</w:t>
      </w:r>
      <w:r w:rsidR="00D80896">
        <w:rPr>
          <w:rFonts w:hint="eastAsia"/>
        </w:rPr>
        <w:t>-</w:t>
      </w:r>
      <w:r w:rsidR="00D80896">
        <w:rPr>
          <w:rFonts w:hint="eastAsia"/>
        </w:rPr>
        <w:t>特優</w:t>
      </w:r>
      <w:r w:rsidR="00D80896" w:rsidRPr="00D80896">
        <w:rPr>
          <w:rFonts w:hint="eastAsia"/>
        </w:rPr>
        <w:t>、</w:t>
      </w:r>
      <w:r w:rsidR="00D80896">
        <w:rPr>
          <w:rFonts w:hint="eastAsia"/>
        </w:rPr>
        <w:t xml:space="preserve"> B</w:t>
      </w:r>
      <w:r w:rsidR="00D80896" w:rsidRPr="00D80896">
        <w:rPr>
          <w:rFonts w:hint="eastAsia"/>
        </w:rPr>
        <w:t>通過</w:t>
      </w:r>
      <w:r w:rsidR="00D80896">
        <w:rPr>
          <w:rFonts w:hint="eastAsia"/>
        </w:rPr>
        <w:t>-</w:t>
      </w:r>
      <w:r w:rsidR="00D80896">
        <w:rPr>
          <w:rFonts w:hint="eastAsia"/>
        </w:rPr>
        <w:t>優、</w:t>
      </w:r>
      <w:r w:rsidR="00D80896">
        <w:rPr>
          <w:rFonts w:hint="eastAsia"/>
        </w:rPr>
        <w:t xml:space="preserve"> C</w:t>
      </w:r>
      <w:bookmarkStart w:id="1" w:name="_Hlk63234989"/>
      <w:r w:rsidR="00D80896">
        <w:rPr>
          <w:rFonts w:hint="eastAsia"/>
        </w:rPr>
        <w:t>通過</w:t>
      </w:r>
      <w:bookmarkEnd w:id="1"/>
      <w:r w:rsidR="00D80896">
        <w:rPr>
          <w:rFonts w:hint="eastAsia"/>
        </w:rPr>
        <w:t>-</w:t>
      </w:r>
      <w:r w:rsidR="00D80896">
        <w:rPr>
          <w:rFonts w:hint="eastAsia"/>
        </w:rPr>
        <w:t>良</w:t>
      </w:r>
      <w:bookmarkStart w:id="2" w:name="_Hlk63235025"/>
      <w:r>
        <w:rPr>
          <w:rFonts w:hint="eastAsia"/>
        </w:rPr>
        <w:t>、</w:t>
      </w:r>
      <w:bookmarkEnd w:id="2"/>
      <w:r w:rsidR="00D80896">
        <w:rPr>
          <w:rFonts w:hint="eastAsia"/>
        </w:rPr>
        <w:t>D</w:t>
      </w:r>
      <w:r>
        <w:rPr>
          <w:rFonts w:hint="eastAsia"/>
        </w:rPr>
        <w:t>修正後通過、</w:t>
      </w:r>
      <w:r w:rsidR="00D80896">
        <w:rPr>
          <w:rFonts w:hint="eastAsia"/>
        </w:rPr>
        <w:t>E</w:t>
      </w:r>
      <w:r>
        <w:rPr>
          <w:rFonts w:hint="eastAsia"/>
        </w:rPr>
        <w:t>待通過</w:t>
      </w:r>
    </w:p>
    <w:sectPr w:rsidR="004741AD" w:rsidSect="00D2344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7CE8D" w14:textId="77777777" w:rsidR="008B737A" w:rsidRDefault="008B737A" w:rsidP="00145F55">
      <w:r>
        <w:separator/>
      </w:r>
    </w:p>
  </w:endnote>
  <w:endnote w:type="continuationSeparator" w:id="0">
    <w:p w14:paraId="62750AAD" w14:textId="77777777" w:rsidR="008B737A" w:rsidRDefault="008B737A" w:rsidP="0014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華康中黑體">
    <w:altName w:val="微軟正黑體"/>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7583E" w14:textId="77777777" w:rsidR="008B737A" w:rsidRDefault="008B737A" w:rsidP="00145F55">
      <w:r>
        <w:separator/>
      </w:r>
    </w:p>
  </w:footnote>
  <w:footnote w:type="continuationSeparator" w:id="0">
    <w:p w14:paraId="78AE4CF0" w14:textId="77777777" w:rsidR="008B737A" w:rsidRDefault="008B737A" w:rsidP="00145F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826FA"/>
    <w:multiLevelType w:val="hybridMultilevel"/>
    <w:tmpl w:val="12F835B2"/>
    <w:lvl w:ilvl="0" w:tplc="4AFE4BCA">
      <w:start w:val="1"/>
      <w:numFmt w:val="bullet"/>
      <w:lvlText w:val="•"/>
      <w:lvlJc w:val="left"/>
      <w:pPr>
        <w:tabs>
          <w:tab w:val="num" w:pos="720"/>
        </w:tabs>
        <w:ind w:left="720" w:hanging="360"/>
      </w:pPr>
      <w:rPr>
        <w:rFonts w:ascii="新細明體" w:hAnsi="新細明體" w:hint="default"/>
      </w:rPr>
    </w:lvl>
    <w:lvl w:ilvl="1" w:tplc="04CC62E6" w:tentative="1">
      <w:start w:val="1"/>
      <w:numFmt w:val="bullet"/>
      <w:lvlText w:val="•"/>
      <w:lvlJc w:val="left"/>
      <w:pPr>
        <w:tabs>
          <w:tab w:val="num" w:pos="1440"/>
        </w:tabs>
        <w:ind w:left="1440" w:hanging="360"/>
      </w:pPr>
      <w:rPr>
        <w:rFonts w:ascii="新細明體" w:hAnsi="新細明體" w:hint="default"/>
      </w:rPr>
    </w:lvl>
    <w:lvl w:ilvl="2" w:tplc="A3B832D0" w:tentative="1">
      <w:start w:val="1"/>
      <w:numFmt w:val="bullet"/>
      <w:lvlText w:val="•"/>
      <w:lvlJc w:val="left"/>
      <w:pPr>
        <w:tabs>
          <w:tab w:val="num" w:pos="2160"/>
        </w:tabs>
        <w:ind w:left="2160" w:hanging="360"/>
      </w:pPr>
      <w:rPr>
        <w:rFonts w:ascii="新細明體" w:hAnsi="新細明體" w:hint="default"/>
      </w:rPr>
    </w:lvl>
    <w:lvl w:ilvl="3" w:tplc="A308DA0C" w:tentative="1">
      <w:start w:val="1"/>
      <w:numFmt w:val="bullet"/>
      <w:lvlText w:val="•"/>
      <w:lvlJc w:val="left"/>
      <w:pPr>
        <w:tabs>
          <w:tab w:val="num" w:pos="2880"/>
        </w:tabs>
        <w:ind w:left="2880" w:hanging="360"/>
      </w:pPr>
      <w:rPr>
        <w:rFonts w:ascii="新細明體" w:hAnsi="新細明體" w:hint="default"/>
      </w:rPr>
    </w:lvl>
    <w:lvl w:ilvl="4" w:tplc="AF9A1A4E" w:tentative="1">
      <w:start w:val="1"/>
      <w:numFmt w:val="bullet"/>
      <w:lvlText w:val="•"/>
      <w:lvlJc w:val="left"/>
      <w:pPr>
        <w:tabs>
          <w:tab w:val="num" w:pos="3600"/>
        </w:tabs>
        <w:ind w:left="3600" w:hanging="360"/>
      </w:pPr>
      <w:rPr>
        <w:rFonts w:ascii="新細明體" w:hAnsi="新細明體" w:hint="default"/>
      </w:rPr>
    </w:lvl>
    <w:lvl w:ilvl="5" w:tplc="863AE5FC" w:tentative="1">
      <w:start w:val="1"/>
      <w:numFmt w:val="bullet"/>
      <w:lvlText w:val="•"/>
      <w:lvlJc w:val="left"/>
      <w:pPr>
        <w:tabs>
          <w:tab w:val="num" w:pos="4320"/>
        </w:tabs>
        <w:ind w:left="4320" w:hanging="360"/>
      </w:pPr>
      <w:rPr>
        <w:rFonts w:ascii="新細明體" w:hAnsi="新細明體" w:hint="default"/>
      </w:rPr>
    </w:lvl>
    <w:lvl w:ilvl="6" w:tplc="9314017C" w:tentative="1">
      <w:start w:val="1"/>
      <w:numFmt w:val="bullet"/>
      <w:lvlText w:val="•"/>
      <w:lvlJc w:val="left"/>
      <w:pPr>
        <w:tabs>
          <w:tab w:val="num" w:pos="5040"/>
        </w:tabs>
        <w:ind w:left="5040" w:hanging="360"/>
      </w:pPr>
      <w:rPr>
        <w:rFonts w:ascii="新細明體" w:hAnsi="新細明體" w:hint="default"/>
      </w:rPr>
    </w:lvl>
    <w:lvl w:ilvl="7" w:tplc="41C0E3FE" w:tentative="1">
      <w:start w:val="1"/>
      <w:numFmt w:val="bullet"/>
      <w:lvlText w:val="•"/>
      <w:lvlJc w:val="left"/>
      <w:pPr>
        <w:tabs>
          <w:tab w:val="num" w:pos="5760"/>
        </w:tabs>
        <w:ind w:left="5760" w:hanging="360"/>
      </w:pPr>
      <w:rPr>
        <w:rFonts w:ascii="新細明體" w:hAnsi="新細明體" w:hint="default"/>
      </w:rPr>
    </w:lvl>
    <w:lvl w:ilvl="8" w:tplc="07163D2A" w:tentative="1">
      <w:start w:val="1"/>
      <w:numFmt w:val="bullet"/>
      <w:lvlText w:val="•"/>
      <w:lvlJc w:val="left"/>
      <w:pPr>
        <w:tabs>
          <w:tab w:val="num" w:pos="6480"/>
        </w:tabs>
        <w:ind w:left="6480" w:hanging="360"/>
      </w:pPr>
      <w:rPr>
        <w:rFonts w:ascii="新細明體" w:hAnsi="新細明體" w:hint="default"/>
      </w:rPr>
    </w:lvl>
  </w:abstractNum>
  <w:abstractNum w:abstractNumId="1" w15:restartNumberingAfterBreak="0">
    <w:nsid w:val="1B44353F"/>
    <w:multiLevelType w:val="hybridMultilevel"/>
    <w:tmpl w:val="636241F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C7A7E71"/>
    <w:multiLevelType w:val="hybridMultilevel"/>
    <w:tmpl w:val="0CA8C42C"/>
    <w:lvl w:ilvl="0" w:tplc="B218E3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806C4D"/>
    <w:multiLevelType w:val="hybridMultilevel"/>
    <w:tmpl w:val="35B026E0"/>
    <w:lvl w:ilvl="0" w:tplc="0409000F">
      <w:start w:val="1"/>
      <w:numFmt w:val="decimal"/>
      <w:lvlText w:val="%1."/>
      <w:lvlJc w:val="left"/>
      <w:pPr>
        <w:ind w:left="451" w:hanging="480"/>
      </w:p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4" w15:restartNumberingAfterBreak="0">
    <w:nsid w:val="3C745D71"/>
    <w:multiLevelType w:val="hybridMultilevel"/>
    <w:tmpl w:val="7FF07AF0"/>
    <w:lvl w:ilvl="0" w:tplc="B218E3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CE091C"/>
    <w:multiLevelType w:val="hybridMultilevel"/>
    <w:tmpl w:val="641E730A"/>
    <w:lvl w:ilvl="0" w:tplc="B218E3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F2626DC"/>
    <w:multiLevelType w:val="hybridMultilevel"/>
    <w:tmpl w:val="EAF2E5AA"/>
    <w:lvl w:ilvl="0" w:tplc="0409000F">
      <w:start w:val="1"/>
      <w:numFmt w:val="decimal"/>
      <w:lvlText w:val="%1."/>
      <w:lvlJc w:val="left"/>
      <w:pPr>
        <w:ind w:left="451" w:hanging="480"/>
      </w:p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7" w15:restartNumberingAfterBreak="0">
    <w:nsid w:val="609D2F8F"/>
    <w:multiLevelType w:val="hybridMultilevel"/>
    <w:tmpl w:val="6AFCC80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68F54B42"/>
    <w:multiLevelType w:val="hybridMultilevel"/>
    <w:tmpl w:val="C6426C50"/>
    <w:lvl w:ilvl="0" w:tplc="0409000F">
      <w:start w:val="1"/>
      <w:numFmt w:val="decimal"/>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9" w15:restartNumberingAfterBreak="0">
    <w:nsid w:val="70A54A0A"/>
    <w:multiLevelType w:val="hybridMultilevel"/>
    <w:tmpl w:val="59B4A85E"/>
    <w:lvl w:ilvl="0" w:tplc="B218E3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6"/>
  </w:num>
  <w:num w:numId="3">
    <w:abstractNumId w:val="2"/>
  </w:num>
  <w:num w:numId="4">
    <w:abstractNumId w:val="9"/>
  </w:num>
  <w:num w:numId="5">
    <w:abstractNumId w:val="5"/>
  </w:num>
  <w:num w:numId="6">
    <w:abstractNumId w:val="4"/>
  </w:num>
  <w:num w:numId="7">
    <w:abstractNumId w:val="3"/>
  </w:num>
  <w:num w:numId="8">
    <w:abstractNumId w:val="1"/>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445"/>
    <w:rsid w:val="00007E8A"/>
    <w:rsid w:val="0005286F"/>
    <w:rsid w:val="000C0A5B"/>
    <w:rsid w:val="000D6EF7"/>
    <w:rsid w:val="00103984"/>
    <w:rsid w:val="00121930"/>
    <w:rsid w:val="001254ED"/>
    <w:rsid w:val="001266DF"/>
    <w:rsid w:val="00145F55"/>
    <w:rsid w:val="002C66D6"/>
    <w:rsid w:val="00334AD2"/>
    <w:rsid w:val="003371F1"/>
    <w:rsid w:val="00344828"/>
    <w:rsid w:val="00355F98"/>
    <w:rsid w:val="003C1CDA"/>
    <w:rsid w:val="00406B7F"/>
    <w:rsid w:val="004741AD"/>
    <w:rsid w:val="00474DEF"/>
    <w:rsid w:val="004B1538"/>
    <w:rsid w:val="004C520C"/>
    <w:rsid w:val="004E5FAC"/>
    <w:rsid w:val="0054045A"/>
    <w:rsid w:val="00544EE3"/>
    <w:rsid w:val="00546828"/>
    <w:rsid w:val="00630DFD"/>
    <w:rsid w:val="006A06EA"/>
    <w:rsid w:val="006C0F25"/>
    <w:rsid w:val="006C6370"/>
    <w:rsid w:val="00754074"/>
    <w:rsid w:val="00757B82"/>
    <w:rsid w:val="007740D9"/>
    <w:rsid w:val="007B40CD"/>
    <w:rsid w:val="00851282"/>
    <w:rsid w:val="008B737A"/>
    <w:rsid w:val="00934670"/>
    <w:rsid w:val="00941DF3"/>
    <w:rsid w:val="00997F3A"/>
    <w:rsid w:val="009D6A5D"/>
    <w:rsid w:val="00A36660"/>
    <w:rsid w:val="00AD50A4"/>
    <w:rsid w:val="00B15337"/>
    <w:rsid w:val="00B270D0"/>
    <w:rsid w:val="00B50047"/>
    <w:rsid w:val="00BC15C8"/>
    <w:rsid w:val="00D23445"/>
    <w:rsid w:val="00D71417"/>
    <w:rsid w:val="00D80896"/>
    <w:rsid w:val="00E51A41"/>
    <w:rsid w:val="00E53F73"/>
    <w:rsid w:val="00EA00AA"/>
    <w:rsid w:val="00F05DE0"/>
    <w:rsid w:val="00F23E8A"/>
    <w:rsid w:val="00F50FC3"/>
    <w:rsid w:val="00FA0567"/>
    <w:rsid w:val="00FF4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2E70B0"/>
  <w15:docId w15:val="{E882991C-9D19-434A-8C3A-D75BBF360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23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45F55"/>
    <w:pPr>
      <w:tabs>
        <w:tab w:val="center" w:pos="4153"/>
        <w:tab w:val="right" w:pos="8306"/>
      </w:tabs>
      <w:snapToGrid w:val="0"/>
    </w:pPr>
    <w:rPr>
      <w:sz w:val="20"/>
      <w:szCs w:val="20"/>
    </w:rPr>
  </w:style>
  <w:style w:type="character" w:customStyle="1" w:styleId="a5">
    <w:name w:val="頁首 字元"/>
    <w:basedOn w:val="a0"/>
    <w:link w:val="a4"/>
    <w:uiPriority w:val="99"/>
    <w:rsid w:val="00145F55"/>
    <w:rPr>
      <w:sz w:val="20"/>
      <w:szCs w:val="20"/>
    </w:rPr>
  </w:style>
  <w:style w:type="paragraph" w:styleId="a6">
    <w:name w:val="footer"/>
    <w:basedOn w:val="a"/>
    <w:link w:val="a7"/>
    <w:uiPriority w:val="99"/>
    <w:unhideWhenUsed/>
    <w:rsid w:val="00145F55"/>
    <w:pPr>
      <w:tabs>
        <w:tab w:val="center" w:pos="4153"/>
        <w:tab w:val="right" w:pos="8306"/>
      </w:tabs>
      <w:snapToGrid w:val="0"/>
    </w:pPr>
    <w:rPr>
      <w:sz w:val="20"/>
      <w:szCs w:val="20"/>
    </w:rPr>
  </w:style>
  <w:style w:type="character" w:customStyle="1" w:styleId="a7">
    <w:name w:val="頁尾 字元"/>
    <w:basedOn w:val="a0"/>
    <w:link w:val="a6"/>
    <w:uiPriority w:val="99"/>
    <w:rsid w:val="00145F55"/>
    <w:rPr>
      <w:sz w:val="20"/>
      <w:szCs w:val="20"/>
    </w:rPr>
  </w:style>
  <w:style w:type="paragraph" w:customStyle="1" w:styleId="1">
    <w:name w:val="1.標題文字"/>
    <w:basedOn w:val="a"/>
    <w:rsid w:val="00007E8A"/>
    <w:pPr>
      <w:jc w:val="center"/>
    </w:pPr>
    <w:rPr>
      <w:rFonts w:ascii="華康中黑體" w:eastAsia="華康中黑體" w:hAnsi="Times New Roman" w:cs="Times New Roman"/>
      <w:sz w:val="28"/>
      <w:szCs w:val="20"/>
    </w:rPr>
  </w:style>
  <w:style w:type="paragraph" w:styleId="a8">
    <w:name w:val="List Paragraph"/>
    <w:basedOn w:val="a"/>
    <w:uiPriority w:val="34"/>
    <w:qFormat/>
    <w:rsid w:val="000D6EF7"/>
    <w:pPr>
      <w:ind w:leftChars="200" w:left="480"/>
    </w:pPr>
  </w:style>
  <w:style w:type="paragraph" w:customStyle="1" w:styleId="Default">
    <w:name w:val="Default"/>
    <w:qFormat/>
    <w:rsid w:val="001266DF"/>
    <w:pPr>
      <w:widowControl w:val="0"/>
      <w:autoSpaceDE w:val="0"/>
      <w:autoSpaceDN w:val="0"/>
      <w:adjustRightInd w:val="0"/>
    </w:pPr>
    <w:rPr>
      <w:rFonts w:ascii="標楷體" w:hAnsi="標楷體" w:cs="標楷體"/>
      <w:color w:val="000000"/>
      <w:kern w:val="0"/>
      <w:szCs w:val="24"/>
    </w:rPr>
  </w:style>
  <w:style w:type="paragraph" w:styleId="a9">
    <w:name w:val="Balloon Text"/>
    <w:basedOn w:val="a"/>
    <w:link w:val="aa"/>
    <w:uiPriority w:val="99"/>
    <w:semiHidden/>
    <w:unhideWhenUsed/>
    <w:rsid w:val="00FF4BA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F4BA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992629">
      <w:bodyDiv w:val="1"/>
      <w:marLeft w:val="0"/>
      <w:marRight w:val="0"/>
      <w:marTop w:val="0"/>
      <w:marBottom w:val="0"/>
      <w:divBdr>
        <w:top w:val="none" w:sz="0" w:space="0" w:color="auto"/>
        <w:left w:val="none" w:sz="0" w:space="0" w:color="auto"/>
        <w:bottom w:val="none" w:sz="0" w:space="0" w:color="auto"/>
        <w:right w:val="none" w:sz="0" w:space="0" w:color="auto"/>
      </w:divBdr>
      <w:divsChild>
        <w:div w:id="57890557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443183-3EF4-4199-9EC7-5A7979514DAA}" type="doc">
      <dgm:prSet loTypeId="urn:microsoft.com/office/officeart/2005/8/layout/hProcess7" loCatId="list" qsTypeId="urn:microsoft.com/office/officeart/2005/8/quickstyle/simple1" qsCatId="simple" csTypeId="urn:microsoft.com/office/officeart/2005/8/colors/colorful5" csCatId="colorful" phldr="1"/>
      <dgm:spPr/>
      <dgm:t>
        <a:bodyPr/>
        <a:lstStyle/>
        <a:p>
          <a:endParaRPr lang="zh-TW" altLang="en-US"/>
        </a:p>
      </dgm:t>
    </dgm:pt>
    <dgm:pt modelId="{3611C66D-5CEC-4544-8E69-C558EF85AE5F}">
      <dgm:prSet phldrT="[文字]"/>
      <dgm:spPr>
        <a:solidFill>
          <a:schemeClr val="accent1">
            <a:lumMod val="50000"/>
          </a:schemeClr>
        </a:solidFill>
      </dgm:spPr>
      <dgm:t>
        <a:bodyPr/>
        <a:lstStyle/>
        <a:p>
          <a:r>
            <a:rPr lang="zh-TW" altLang="en-US"/>
            <a:t>生命的發現</a:t>
          </a:r>
        </a:p>
      </dgm:t>
    </dgm:pt>
    <dgm:pt modelId="{6EE8C2F3-15DD-477F-9C3A-27492989C116}" type="parTrans" cxnId="{42F2F693-3602-4FE7-A818-BDDF6CCBC539}">
      <dgm:prSet/>
      <dgm:spPr/>
      <dgm:t>
        <a:bodyPr/>
        <a:lstStyle/>
        <a:p>
          <a:endParaRPr lang="zh-TW" altLang="en-US"/>
        </a:p>
      </dgm:t>
    </dgm:pt>
    <dgm:pt modelId="{503C3A4C-FA88-40DB-83BF-C3AC2F90C702}" type="sibTrans" cxnId="{42F2F693-3602-4FE7-A818-BDDF6CCBC539}">
      <dgm:prSet/>
      <dgm:spPr/>
      <dgm:t>
        <a:bodyPr/>
        <a:lstStyle/>
        <a:p>
          <a:endParaRPr lang="zh-TW" altLang="en-US"/>
        </a:p>
      </dgm:t>
    </dgm:pt>
    <dgm:pt modelId="{089E4C41-B476-43EC-9D1D-BCEC92B573F9}">
      <dgm:prSet phldrT="[文字]"/>
      <dgm:spPr>
        <a:solidFill>
          <a:srgbClr val="C00000"/>
        </a:solidFill>
      </dgm:spPr>
      <dgm:t>
        <a:bodyPr/>
        <a:lstStyle/>
        <a:p>
          <a:r>
            <a:rPr lang="zh-TW" altLang="en-US"/>
            <a:t>生物體內的運輸</a:t>
          </a:r>
        </a:p>
      </dgm:t>
    </dgm:pt>
    <dgm:pt modelId="{74D75656-432D-4234-A221-2BD015DA3687}" type="parTrans" cxnId="{2215BE4D-A142-4B4F-A6FD-10739CB19083}">
      <dgm:prSet/>
      <dgm:spPr/>
      <dgm:t>
        <a:bodyPr/>
        <a:lstStyle/>
        <a:p>
          <a:endParaRPr lang="zh-TW" altLang="en-US"/>
        </a:p>
      </dgm:t>
    </dgm:pt>
    <dgm:pt modelId="{939985D5-9A71-4710-A7A0-6E121D688567}" type="sibTrans" cxnId="{2215BE4D-A142-4B4F-A6FD-10739CB19083}">
      <dgm:prSet/>
      <dgm:spPr/>
      <dgm:t>
        <a:bodyPr/>
        <a:lstStyle/>
        <a:p>
          <a:endParaRPr lang="zh-TW" altLang="en-US"/>
        </a:p>
      </dgm:t>
    </dgm:pt>
    <dgm:pt modelId="{0BEC6EEB-D648-4C59-85FF-7C7C0D0FDC83}">
      <dgm:prSet phldrT="[文字]"/>
      <dgm:spPr>
        <a:solidFill>
          <a:schemeClr val="accent6">
            <a:lumMod val="50000"/>
          </a:schemeClr>
        </a:solidFill>
      </dgm:spPr>
      <dgm:t>
        <a:bodyPr/>
        <a:lstStyle/>
        <a:p>
          <a:r>
            <a:rPr lang="zh-TW" altLang="en-US"/>
            <a:t>生物體的營養</a:t>
          </a:r>
        </a:p>
      </dgm:t>
    </dgm:pt>
    <dgm:pt modelId="{D517D712-01B2-459F-AEDE-1B55B1AF7D9F}" type="parTrans" cxnId="{A7BDC8D0-5E43-4202-821F-3B25C2534066}">
      <dgm:prSet/>
      <dgm:spPr/>
      <dgm:t>
        <a:bodyPr/>
        <a:lstStyle/>
        <a:p>
          <a:endParaRPr lang="zh-TW" altLang="en-US"/>
        </a:p>
      </dgm:t>
    </dgm:pt>
    <dgm:pt modelId="{74DE5DE2-525A-44D9-8B33-6BF324A38E84}" type="sibTrans" cxnId="{A7BDC8D0-5E43-4202-821F-3B25C2534066}">
      <dgm:prSet/>
      <dgm:spPr/>
      <dgm:t>
        <a:bodyPr/>
        <a:lstStyle/>
        <a:p>
          <a:endParaRPr lang="zh-TW" altLang="en-US"/>
        </a:p>
      </dgm:t>
    </dgm:pt>
    <dgm:pt modelId="{540AFE45-DFCE-46A3-8CAA-6084630F4C0E}">
      <dgm:prSet phldrT="[文字]"/>
      <dgm:spPr/>
      <dgm:t>
        <a:bodyPr/>
        <a:lstStyle/>
        <a:p>
          <a:r>
            <a:rPr lang="zh-TW" altLang="en-US"/>
            <a:t>生命現象與生物圈</a:t>
          </a:r>
        </a:p>
      </dgm:t>
    </dgm:pt>
    <dgm:pt modelId="{A995FE07-AD3C-4BAD-90FA-7D1A2A2D694B}" type="parTrans" cxnId="{261D9331-F511-47C5-B0CA-3EC8710DFF18}">
      <dgm:prSet/>
      <dgm:spPr/>
      <dgm:t>
        <a:bodyPr/>
        <a:lstStyle/>
        <a:p>
          <a:endParaRPr lang="zh-TW" altLang="en-US"/>
        </a:p>
      </dgm:t>
    </dgm:pt>
    <dgm:pt modelId="{3A006BA9-0432-4F50-A38D-CA2857DB5707}" type="sibTrans" cxnId="{261D9331-F511-47C5-B0CA-3EC8710DFF18}">
      <dgm:prSet/>
      <dgm:spPr/>
      <dgm:t>
        <a:bodyPr/>
        <a:lstStyle/>
        <a:p>
          <a:endParaRPr lang="zh-TW" altLang="en-US"/>
        </a:p>
      </dgm:t>
    </dgm:pt>
    <dgm:pt modelId="{58976419-ABB2-4559-B2C4-42D179B83D6A}">
      <dgm:prSet phldrT="[文字]"/>
      <dgm:spPr/>
      <dgm:t>
        <a:bodyPr/>
        <a:lstStyle/>
        <a:p>
          <a:r>
            <a:rPr lang="zh-TW" altLang="en-US"/>
            <a:t>生物體的基本單位</a:t>
          </a:r>
        </a:p>
      </dgm:t>
    </dgm:pt>
    <dgm:pt modelId="{BF03CBCC-EB1C-4E6A-84BB-C49AABD1A2D1}" type="parTrans" cxnId="{032A85FB-76DD-477D-9D46-DD5B3F47684B}">
      <dgm:prSet/>
      <dgm:spPr/>
      <dgm:t>
        <a:bodyPr/>
        <a:lstStyle/>
        <a:p>
          <a:endParaRPr lang="zh-TW" altLang="en-US"/>
        </a:p>
      </dgm:t>
    </dgm:pt>
    <dgm:pt modelId="{022DC7A8-267D-4388-9969-01279760F1B3}" type="sibTrans" cxnId="{032A85FB-76DD-477D-9D46-DD5B3F47684B}">
      <dgm:prSet/>
      <dgm:spPr/>
      <dgm:t>
        <a:bodyPr/>
        <a:lstStyle/>
        <a:p>
          <a:endParaRPr lang="zh-TW" altLang="en-US"/>
        </a:p>
      </dgm:t>
    </dgm:pt>
    <dgm:pt modelId="{A0DF94E4-AC74-4E45-A703-22A509C08052}">
      <dgm:prSet phldrT="[文字]"/>
      <dgm:spPr/>
      <dgm:t>
        <a:bodyPr/>
        <a:lstStyle/>
        <a:p>
          <a:r>
            <a:rPr lang="zh-TW" altLang="en-US"/>
            <a:t>食物中的養分</a:t>
          </a:r>
        </a:p>
      </dgm:t>
    </dgm:pt>
    <dgm:pt modelId="{AC857627-218E-435A-999E-0C47FC34C42E}" type="parTrans" cxnId="{A0B4935F-D6AE-4A76-9B66-8AD95F1D4535}">
      <dgm:prSet/>
      <dgm:spPr/>
      <dgm:t>
        <a:bodyPr/>
        <a:lstStyle/>
        <a:p>
          <a:endParaRPr lang="zh-TW" altLang="en-US"/>
        </a:p>
      </dgm:t>
    </dgm:pt>
    <dgm:pt modelId="{4F71B320-F9E3-48BC-95A5-2CEC781315F1}" type="sibTrans" cxnId="{A0B4935F-D6AE-4A76-9B66-8AD95F1D4535}">
      <dgm:prSet/>
      <dgm:spPr/>
      <dgm:t>
        <a:bodyPr/>
        <a:lstStyle/>
        <a:p>
          <a:endParaRPr lang="zh-TW" altLang="en-US"/>
        </a:p>
      </dgm:t>
    </dgm:pt>
    <dgm:pt modelId="{024E70F1-A7B9-4C07-A619-46ED5199C466}">
      <dgm:prSet phldrT="[文字]"/>
      <dgm:spPr/>
      <dgm:t>
        <a:bodyPr/>
        <a:lstStyle/>
        <a:p>
          <a:r>
            <a:rPr lang="zh-TW" altLang="en-US"/>
            <a:t>植物如何製造養分</a:t>
          </a:r>
        </a:p>
      </dgm:t>
    </dgm:pt>
    <dgm:pt modelId="{5CE9D423-22E6-40A2-81AB-2865E9E10448}" type="parTrans" cxnId="{23BFC359-88DE-48F4-92DC-722E9915DFC8}">
      <dgm:prSet/>
      <dgm:spPr/>
      <dgm:t>
        <a:bodyPr/>
        <a:lstStyle/>
        <a:p>
          <a:endParaRPr lang="zh-TW" altLang="en-US"/>
        </a:p>
      </dgm:t>
    </dgm:pt>
    <dgm:pt modelId="{B1935D12-DCE9-4AF9-8C12-F5E5DC9AEBBD}" type="sibTrans" cxnId="{23BFC359-88DE-48F4-92DC-722E9915DFC8}">
      <dgm:prSet/>
      <dgm:spPr/>
      <dgm:t>
        <a:bodyPr/>
        <a:lstStyle/>
        <a:p>
          <a:endParaRPr lang="zh-TW" altLang="en-US"/>
        </a:p>
      </dgm:t>
    </dgm:pt>
    <dgm:pt modelId="{61B7F6E7-0AA1-4C2D-8F91-9EFC9C954B50}">
      <dgm:prSet phldrT="[文字]"/>
      <dgm:spPr/>
      <dgm:t>
        <a:bodyPr/>
        <a:lstStyle/>
        <a:p>
          <a:r>
            <a:rPr lang="zh-TW" altLang="en-US"/>
            <a:t>人體如何獲得養分</a:t>
          </a:r>
        </a:p>
      </dgm:t>
    </dgm:pt>
    <dgm:pt modelId="{63002145-7D55-47BE-A8F9-462D938C8336}" type="parTrans" cxnId="{F5E8453B-2217-4411-906D-A9D4ADB4D555}">
      <dgm:prSet/>
      <dgm:spPr/>
      <dgm:t>
        <a:bodyPr/>
        <a:lstStyle/>
        <a:p>
          <a:endParaRPr lang="zh-TW" altLang="en-US"/>
        </a:p>
      </dgm:t>
    </dgm:pt>
    <dgm:pt modelId="{6A471A79-C0DC-4E7D-B149-F55C964B9DCE}" type="sibTrans" cxnId="{F5E8453B-2217-4411-906D-A9D4ADB4D555}">
      <dgm:prSet/>
      <dgm:spPr/>
      <dgm:t>
        <a:bodyPr/>
        <a:lstStyle/>
        <a:p>
          <a:endParaRPr lang="zh-TW" altLang="en-US"/>
        </a:p>
      </dgm:t>
    </dgm:pt>
    <dgm:pt modelId="{9754546A-B20C-4D96-A7FF-3AB7C3A70348}">
      <dgm:prSet phldrT="[文字]"/>
      <dgm:spPr/>
      <dgm:t>
        <a:bodyPr/>
        <a:lstStyle/>
        <a:p>
          <a:endParaRPr lang="zh-TW" altLang="en-US"/>
        </a:p>
      </dgm:t>
    </dgm:pt>
    <dgm:pt modelId="{2FBF7CC1-BA90-4592-AE87-DBA354D19828}" type="parTrans" cxnId="{EF25B122-202B-4F2B-AB71-371A5C17A56E}">
      <dgm:prSet/>
      <dgm:spPr/>
      <dgm:t>
        <a:bodyPr/>
        <a:lstStyle/>
        <a:p>
          <a:endParaRPr lang="zh-TW" altLang="en-US"/>
        </a:p>
      </dgm:t>
    </dgm:pt>
    <dgm:pt modelId="{F4715559-4EC7-4C45-88F7-0020B93596B0}" type="sibTrans" cxnId="{EF25B122-202B-4F2B-AB71-371A5C17A56E}">
      <dgm:prSet/>
      <dgm:spPr/>
      <dgm:t>
        <a:bodyPr/>
        <a:lstStyle/>
        <a:p>
          <a:endParaRPr lang="zh-TW" altLang="en-US"/>
        </a:p>
      </dgm:t>
    </dgm:pt>
    <dgm:pt modelId="{90E3860F-90E8-4BF4-B6B5-88229689F358}">
      <dgm:prSet phldrT="[文字]"/>
      <dgm:spPr/>
      <dgm:t>
        <a:bodyPr/>
        <a:lstStyle/>
        <a:p>
          <a:r>
            <a:rPr lang="zh-TW" altLang="en-US"/>
            <a:t>植物的運輸構造</a:t>
          </a:r>
        </a:p>
      </dgm:t>
    </dgm:pt>
    <dgm:pt modelId="{134099B8-89AF-42DD-BE87-94122327F82B}" type="parTrans" cxnId="{773FFDF6-DC87-4D9B-B891-68E92D4644C6}">
      <dgm:prSet/>
      <dgm:spPr/>
      <dgm:t>
        <a:bodyPr/>
        <a:lstStyle/>
        <a:p>
          <a:endParaRPr lang="zh-TW" altLang="en-US"/>
        </a:p>
      </dgm:t>
    </dgm:pt>
    <dgm:pt modelId="{12FA072F-3BB6-478A-9454-4A8DBC0BF561}" type="sibTrans" cxnId="{773FFDF6-DC87-4D9B-B891-68E92D4644C6}">
      <dgm:prSet/>
      <dgm:spPr/>
      <dgm:t>
        <a:bodyPr/>
        <a:lstStyle/>
        <a:p>
          <a:endParaRPr lang="zh-TW" altLang="en-US"/>
        </a:p>
      </dgm:t>
    </dgm:pt>
    <dgm:pt modelId="{875554B5-4691-4BDE-92D6-EC4CDF6E0475}">
      <dgm:prSet phldrT="[文字]"/>
      <dgm:spPr/>
      <dgm:t>
        <a:bodyPr/>
        <a:lstStyle/>
        <a:p>
          <a:r>
            <a:rPr lang="zh-TW" altLang="en-US"/>
            <a:t>人體內的血液循環</a:t>
          </a:r>
        </a:p>
      </dgm:t>
    </dgm:pt>
    <dgm:pt modelId="{D0F88FC1-E5E1-43B8-88B2-2B4D7EC50E9D}" type="parTrans" cxnId="{50BC18CE-6A03-4291-9F9D-79B4B7752381}">
      <dgm:prSet/>
      <dgm:spPr/>
      <dgm:t>
        <a:bodyPr/>
        <a:lstStyle/>
        <a:p>
          <a:endParaRPr lang="zh-TW" altLang="en-US"/>
        </a:p>
      </dgm:t>
    </dgm:pt>
    <dgm:pt modelId="{8CF4A99C-29B1-4884-8B6D-E65FB7A93593}" type="sibTrans" cxnId="{50BC18CE-6A03-4291-9F9D-79B4B7752381}">
      <dgm:prSet/>
      <dgm:spPr/>
      <dgm:t>
        <a:bodyPr/>
        <a:lstStyle/>
        <a:p>
          <a:endParaRPr lang="zh-TW" altLang="en-US"/>
        </a:p>
      </dgm:t>
    </dgm:pt>
    <dgm:pt modelId="{69B1C770-D997-40F9-BFBB-969FB46B17E0}">
      <dgm:prSet phldrT="[文字]"/>
      <dgm:spPr>
        <a:solidFill>
          <a:schemeClr val="accent3">
            <a:lumMod val="50000"/>
          </a:schemeClr>
        </a:solidFill>
      </dgm:spPr>
      <dgm:t>
        <a:bodyPr/>
        <a:lstStyle/>
        <a:p>
          <a:r>
            <a:rPr lang="zh-TW" altLang="en-US"/>
            <a:t>生物體的協調作用</a:t>
          </a:r>
        </a:p>
      </dgm:t>
    </dgm:pt>
    <dgm:pt modelId="{CE9F603B-97FB-4B64-96BA-7A79BDBB4A04}" type="parTrans" cxnId="{26942C01-D91B-448E-A643-5716098A6952}">
      <dgm:prSet/>
      <dgm:spPr/>
      <dgm:t>
        <a:bodyPr/>
        <a:lstStyle/>
        <a:p>
          <a:endParaRPr lang="zh-TW" altLang="en-US"/>
        </a:p>
      </dgm:t>
    </dgm:pt>
    <dgm:pt modelId="{BD9C586D-F824-4E6B-8758-CC8ACB9ECE72}" type="sibTrans" cxnId="{26942C01-D91B-448E-A643-5716098A6952}">
      <dgm:prSet/>
      <dgm:spPr/>
      <dgm:t>
        <a:bodyPr/>
        <a:lstStyle/>
        <a:p>
          <a:endParaRPr lang="zh-TW" altLang="en-US"/>
        </a:p>
      </dgm:t>
    </dgm:pt>
    <dgm:pt modelId="{0FAB3FF6-4BBB-4EB3-92D3-01ED11B921D0}">
      <dgm:prSet phldrT="[文字]"/>
      <dgm:spPr/>
      <dgm:t>
        <a:bodyPr/>
        <a:lstStyle/>
        <a:p>
          <a:r>
            <a:rPr lang="zh-TW" altLang="en-US"/>
            <a:t>人體內的淋巴循環</a:t>
          </a:r>
        </a:p>
      </dgm:t>
    </dgm:pt>
    <dgm:pt modelId="{9CFD12E7-9CF4-4364-9E9C-14D1DF72E006}" type="parTrans" cxnId="{D6AE7102-332F-43A6-BDD0-354B548A3D38}">
      <dgm:prSet/>
      <dgm:spPr/>
      <dgm:t>
        <a:bodyPr/>
        <a:lstStyle/>
        <a:p>
          <a:endParaRPr lang="zh-TW" altLang="en-US"/>
        </a:p>
      </dgm:t>
    </dgm:pt>
    <dgm:pt modelId="{B917C349-CDE3-46D9-B42E-C519CAF38C4F}" type="sibTrans" cxnId="{D6AE7102-332F-43A6-BDD0-354B548A3D38}">
      <dgm:prSet/>
      <dgm:spPr/>
      <dgm:t>
        <a:bodyPr/>
        <a:lstStyle/>
        <a:p>
          <a:endParaRPr lang="zh-TW" altLang="en-US"/>
        </a:p>
      </dgm:t>
    </dgm:pt>
    <dgm:pt modelId="{1C136A9E-AAF7-465E-A851-C42AAD245756}">
      <dgm:prSet phldrT="[文字]"/>
      <dgm:spPr/>
      <dgm:t>
        <a:bodyPr/>
        <a:lstStyle/>
        <a:p>
          <a:r>
            <a:rPr lang="zh-TW" altLang="en-US"/>
            <a:t>植物的感應</a:t>
          </a:r>
          <a:endParaRPr lang="zh-TW" altLang="zh-TW"/>
        </a:p>
      </dgm:t>
    </dgm:pt>
    <dgm:pt modelId="{E1348754-DF26-4A0E-933A-CE366D972E15}" type="parTrans" cxnId="{F95AA58A-6DCA-4D1D-BF77-9F409D418446}">
      <dgm:prSet/>
      <dgm:spPr/>
      <dgm:t>
        <a:bodyPr/>
        <a:lstStyle/>
        <a:p>
          <a:endParaRPr lang="zh-TW" altLang="en-US"/>
        </a:p>
      </dgm:t>
    </dgm:pt>
    <dgm:pt modelId="{546C9C68-D347-459D-B7DA-1DBC69E69378}" type="sibTrans" cxnId="{F95AA58A-6DCA-4D1D-BF77-9F409D418446}">
      <dgm:prSet/>
      <dgm:spPr/>
      <dgm:t>
        <a:bodyPr/>
        <a:lstStyle/>
        <a:p>
          <a:endParaRPr lang="zh-TW" altLang="en-US"/>
        </a:p>
      </dgm:t>
    </dgm:pt>
    <dgm:pt modelId="{C335DDD5-CC9D-498A-AC97-EA7CF1A46CD9}">
      <dgm:prSet phldrT="[文字]"/>
      <dgm:spPr/>
      <dgm:t>
        <a:bodyPr/>
        <a:lstStyle/>
        <a:p>
          <a:r>
            <a:rPr lang="zh-TW" altLang="en-US"/>
            <a:t>神經系統</a:t>
          </a:r>
          <a:endParaRPr lang="zh-TW" altLang="zh-TW"/>
        </a:p>
      </dgm:t>
    </dgm:pt>
    <dgm:pt modelId="{3957B2A6-8E44-4DFB-A549-84E040058901}" type="parTrans" cxnId="{9B1668F1-9B6C-46AC-9836-331E8CA39326}">
      <dgm:prSet/>
      <dgm:spPr/>
      <dgm:t>
        <a:bodyPr/>
        <a:lstStyle/>
        <a:p>
          <a:endParaRPr lang="zh-TW" altLang="en-US"/>
        </a:p>
      </dgm:t>
    </dgm:pt>
    <dgm:pt modelId="{2B23DFC5-0344-442D-8A74-A3733646F7E8}" type="sibTrans" cxnId="{9B1668F1-9B6C-46AC-9836-331E8CA39326}">
      <dgm:prSet/>
      <dgm:spPr/>
      <dgm:t>
        <a:bodyPr/>
        <a:lstStyle/>
        <a:p>
          <a:endParaRPr lang="zh-TW" altLang="en-US"/>
        </a:p>
      </dgm:t>
    </dgm:pt>
    <dgm:pt modelId="{0BEE1737-D075-4195-87BE-B1485D6CD7E6}">
      <dgm:prSet phldrT="[文字]"/>
      <dgm:spPr/>
      <dgm:t>
        <a:bodyPr/>
        <a:lstStyle/>
        <a:p>
          <a:r>
            <a:rPr lang="zh-TW" altLang="en-US"/>
            <a:t>血糖的恆定</a:t>
          </a:r>
        </a:p>
      </dgm:t>
    </dgm:pt>
    <dgm:pt modelId="{9F98C712-957F-4AC8-9E95-6101C103B7A9}" type="parTrans" cxnId="{296A139F-F2D3-4F51-A97C-953B19D62503}">
      <dgm:prSet/>
      <dgm:spPr/>
      <dgm:t>
        <a:bodyPr/>
        <a:lstStyle/>
        <a:p>
          <a:endParaRPr lang="zh-TW" altLang="en-US"/>
        </a:p>
      </dgm:t>
    </dgm:pt>
    <dgm:pt modelId="{85FA08EE-A5FD-4E0E-A1C3-EA30D735542E}" type="sibTrans" cxnId="{296A139F-F2D3-4F51-A97C-953B19D62503}">
      <dgm:prSet/>
      <dgm:spPr/>
      <dgm:t>
        <a:bodyPr/>
        <a:lstStyle/>
        <a:p>
          <a:endParaRPr lang="zh-TW" altLang="en-US"/>
        </a:p>
      </dgm:t>
    </dgm:pt>
    <dgm:pt modelId="{96130E0E-0865-438B-A06A-7F2A8CCED902}">
      <dgm:prSet phldrT="[文字]"/>
      <dgm:spPr/>
      <dgm:t>
        <a:bodyPr/>
        <a:lstStyle/>
        <a:p>
          <a:r>
            <a:rPr lang="zh-TW" altLang="en-US"/>
            <a:t>呼吸與氣體的恆定</a:t>
          </a:r>
        </a:p>
      </dgm:t>
    </dgm:pt>
    <dgm:pt modelId="{1C1C0CDB-D761-4C23-961F-785E5BB2B734}" type="parTrans" cxnId="{88BEE4A5-C7B0-4542-AB80-E2CE6B48A6B0}">
      <dgm:prSet/>
      <dgm:spPr/>
      <dgm:t>
        <a:bodyPr/>
        <a:lstStyle/>
        <a:p>
          <a:endParaRPr lang="zh-TW" altLang="en-US"/>
        </a:p>
      </dgm:t>
    </dgm:pt>
    <dgm:pt modelId="{314B9DF1-A48F-4D40-8382-E4617FBC4AF2}" type="sibTrans" cxnId="{88BEE4A5-C7B0-4542-AB80-E2CE6B48A6B0}">
      <dgm:prSet/>
      <dgm:spPr/>
      <dgm:t>
        <a:bodyPr/>
        <a:lstStyle/>
        <a:p>
          <a:endParaRPr lang="zh-TW" altLang="en-US"/>
        </a:p>
      </dgm:t>
    </dgm:pt>
    <dgm:pt modelId="{1075BEFB-853F-457A-AE33-28CCEB0F44FD}">
      <dgm:prSet phldrT="[文字]"/>
      <dgm:spPr/>
      <dgm:t>
        <a:bodyPr/>
        <a:lstStyle/>
        <a:p>
          <a:r>
            <a:rPr lang="zh-TW" altLang="en-US"/>
            <a:t>排泄與水分的恆定</a:t>
          </a:r>
        </a:p>
      </dgm:t>
    </dgm:pt>
    <dgm:pt modelId="{069A81E9-E64E-41E9-8980-81B3B8680FB1}" type="parTrans" cxnId="{E5D87F38-8E03-4A82-A07E-787BDC405510}">
      <dgm:prSet/>
      <dgm:spPr/>
      <dgm:t>
        <a:bodyPr/>
        <a:lstStyle/>
        <a:p>
          <a:endParaRPr lang="zh-TW" altLang="en-US"/>
        </a:p>
      </dgm:t>
    </dgm:pt>
    <dgm:pt modelId="{E879039F-FCB2-49DC-8182-7EB266C520BB}" type="sibTrans" cxnId="{E5D87F38-8E03-4A82-A07E-787BDC405510}">
      <dgm:prSet/>
      <dgm:spPr/>
      <dgm:t>
        <a:bodyPr/>
        <a:lstStyle/>
        <a:p>
          <a:endParaRPr lang="zh-TW" altLang="en-US"/>
        </a:p>
      </dgm:t>
    </dgm:pt>
    <dgm:pt modelId="{6E68D6A5-D825-49D0-AB11-2124031AADA3}">
      <dgm:prSet phldrT="[文字]"/>
      <dgm:spPr/>
      <dgm:t>
        <a:bodyPr/>
        <a:lstStyle/>
        <a:p>
          <a:r>
            <a:rPr lang="zh-TW" altLang="en-US"/>
            <a:t>探究自然的方法</a:t>
          </a:r>
        </a:p>
      </dgm:t>
    </dgm:pt>
    <dgm:pt modelId="{84C31993-91D6-49FE-BAC6-2D6BAEF7BB95}" type="parTrans" cxnId="{9822695B-889C-4EF3-A1A4-F84BB0BD5FE1}">
      <dgm:prSet/>
      <dgm:spPr/>
    </dgm:pt>
    <dgm:pt modelId="{B7F85938-9754-42B5-A25D-2A2FE3A98A13}" type="sibTrans" cxnId="{9822695B-889C-4EF3-A1A4-F84BB0BD5FE1}">
      <dgm:prSet/>
      <dgm:spPr/>
    </dgm:pt>
    <dgm:pt modelId="{0F1013DA-D552-4AA5-99DF-8F18486CD8E9}">
      <dgm:prSet phldrT="[文字]"/>
      <dgm:spPr/>
      <dgm:t>
        <a:bodyPr/>
        <a:lstStyle/>
        <a:p>
          <a:r>
            <a:rPr lang="zh-TW" altLang="en-US"/>
            <a:t>細胞的形態與構造</a:t>
          </a:r>
        </a:p>
      </dgm:t>
    </dgm:pt>
    <dgm:pt modelId="{519BF8EF-2891-4A95-A6EA-1077ECBEACAB}" type="parTrans" cxnId="{8CD037AA-6539-49BC-B00F-B234B66A5B5D}">
      <dgm:prSet/>
      <dgm:spPr/>
    </dgm:pt>
    <dgm:pt modelId="{AFED7144-4DB4-4819-B3B9-1AC4EF1C5D80}" type="sibTrans" cxnId="{8CD037AA-6539-49BC-B00F-B234B66A5B5D}">
      <dgm:prSet/>
      <dgm:spPr/>
    </dgm:pt>
    <dgm:pt modelId="{9A44AFBD-50E1-4EA5-8C2A-052F01396FC8}">
      <dgm:prSet phldrT="[文字]"/>
      <dgm:spPr/>
      <dgm:t>
        <a:bodyPr/>
        <a:lstStyle/>
        <a:p>
          <a:r>
            <a:rPr lang="zh-TW" altLang="en-US"/>
            <a:t>酵素</a:t>
          </a:r>
        </a:p>
      </dgm:t>
    </dgm:pt>
    <dgm:pt modelId="{85D88AEE-1FA2-4B81-A090-F868263932C6}" type="parTrans" cxnId="{CF515124-2C54-4C2D-B52C-67703FD29A03}">
      <dgm:prSet/>
      <dgm:spPr/>
    </dgm:pt>
    <dgm:pt modelId="{8B931D92-01DF-4EA5-A197-F413F4D11D13}" type="sibTrans" cxnId="{CF515124-2C54-4C2D-B52C-67703FD29A03}">
      <dgm:prSet/>
      <dgm:spPr/>
    </dgm:pt>
    <dgm:pt modelId="{8E76248F-21C4-449F-A4CD-A5C89474A42A}">
      <dgm:prSet phldrT="[文字]"/>
      <dgm:spPr/>
      <dgm:t>
        <a:bodyPr/>
        <a:lstStyle/>
        <a:p>
          <a:r>
            <a:rPr lang="zh-TW" altLang="zh-TW"/>
            <a:t>內分泌系統的運作</a:t>
          </a:r>
        </a:p>
      </dgm:t>
    </dgm:pt>
    <dgm:pt modelId="{5226F0FE-0B23-45DF-A9E5-18B2E3220C29}" type="parTrans" cxnId="{9E21F85E-B00E-46A1-93E5-8ED5F3C0BB60}">
      <dgm:prSet/>
      <dgm:spPr/>
    </dgm:pt>
    <dgm:pt modelId="{EDBF23AC-539D-4D13-A742-9EF24E05FB51}" type="sibTrans" cxnId="{9E21F85E-B00E-46A1-93E5-8ED5F3C0BB60}">
      <dgm:prSet/>
      <dgm:spPr/>
    </dgm:pt>
    <dgm:pt modelId="{D05A4007-2CE5-4B2A-8664-806F957857AA}">
      <dgm:prSet phldrT="[文字]"/>
      <dgm:spPr>
        <a:solidFill>
          <a:schemeClr val="accent1">
            <a:lumMod val="75000"/>
          </a:schemeClr>
        </a:solidFill>
      </dgm:spPr>
      <dgm:t>
        <a:bodyPr/>
        <a:lstStyle/>
        <a:p>
          <a:r>
            <a:rPr lang="zh-TW" altLang="zh-TW"/>
            <a:t>生物體內的恆定</a:t>
          </a:r>
        </a:p>
      </dgm:t>
    </dgm:pt>
    <dgm:pt modelId="{20CCD1FB-240D-420F-A2A6-77474AC42FF3}" type="parTrans" cxnId="{58B42B45-8FC6-4148-AD03-95BD62A1DBDA}">
      <dgm:prSet/>
      <dgm:spPr/>
    </dgm:pt>
    <dgm:pt modelId="{ED7C06FC-BE62-4441-8329-5AD836B5F085}" type="sibTrans" cxnId="{58B42B45-8FC6-4148-AD03-95BD62A1DBDA}">
      <dgm:prSet/>
      <dgm:spPr/>
    </dgm:pt>
    <dgm:pt modelId="{4625D9C5-AC97-451D-9F85-C31D320F4ED2}">
      <dgm:prSet phldrT="[文字]"/>
      <dgm:spPr/>
      <dgm:t>
        <a:bodyPr/>
        <a:lstStyle/>
        <a:p>
          <a:r>
            <a:rPr lang="zh-TW" altLang="en-US"/>
            <a:t>體溫的恆定</a:t>
          </a:r>
        </a:p>
      </dgm:t>
    </dgm:pt>
    <dgm:pt modelId="{829455AD-6C95-4DA3-8D22-329CD98F7F63}" type="parTrans" cxnId="{C1F079A2-C34D-4FD8-AC92-5E3F8CB00EA3}">
      <dgm:prSet/>
      <dgm:spPr/>
    </dgm:pt>
    <dgm:pt modelId="{401EC79E-3911-46EF-91D3-BC4260024690}" type="sibTrans" cxnId="{C1F079A2-C34D-4FD8-AC92-5E3F8CB00EA3}">
      <dgm:prSet/>
      <dgm:spPr/>
    </dgm:pt>
    <dgm:pt modelId="{0D7FF34A-3B18-4809-8C9A-2F0BD2A4AF9A}">
      <dgm:prSet/>
      <dgm:spPr/>
      <dgm:t>
        <a:bodyPr/>
        <a:lstStyle/>
        <a:p>
          <a:r>
            <a:rPr lang="zh-TW" altLang="en-US"/>
            <a:t>細胞的組成與物質進出的方式</a:t>
          </a:r>
        </a:p>
      </dgm:t>
    </dgm:pt>
    <dgm:pt modelId="{3E261BED-48EC-4C8D-84CE-33CF999F9BE9}" type="parTrans" cxnId="{EA191F8F-0D8D-4516-95A3-FD51C76EE160}">
      <dgm:prSet/>
      <dgm:spPr/>
      <dgm:t>
        <a:bodyPr/>
        <a:lstStyle/>
        <a:p>
          <a:endParaRPr lang="zh-TW" altLang="en-US"/>
        </a:p>
      </dgm:t>
    </dgm:pt>
    <dgm:pt modelId="{00DC875B-D8DD-4C0E-8B9A-3DCB466016F1}" type="sibTrans" cxnId="{EA191F8F-0D8D-4516-95A3-FD51C76EE160}">
      <dgm:prSet/>
      <dgm:spPr/>
      <dgm:t>
        <a:bodyPr/>
        <a:lstStyle/>
        <a:p>
          <a:endParaRPr lang="zh-TW" altLang="en-US"/>
        </a:p>
      </dgm:t>
    </dgm:pt>
    <dgm:pt modelId="{BC4694FC-12B7-4EBD-893B-D77DE321359E}">
      <dgm:prSet/>
      <dgm:spPr/>
      <dgm:t>
        <a:bodyPr/>
        <a:lstStyle/>
        <a:p>
          <a:r>
            <a:rPr lang="zh-TW" altLang="en-US"/>
            <a:t>生物體的組成層次</a:t>
          </a:r>
        </a:p>
      </dgm:t>
    </dgm:pt>
    <dgm:pt modelId="{BA5FDA1F-618B-44CC-85FC-580544C6A4F2}" type="parTrans" cxnId="{D9A750B1-A46B-4D8D-83C1-B619E8E3E40D}">
      <dgm:prSet/>
      <dgm:spPr/>
      <dgm:t>
        <a:bodyPr/>
        <a:lstStyle/>
        <a:p>
          <a:endParaRPr lang="zh-TW" altLang="en-US"/>
        </a:p>
      </dgm:t>
    </dgm:pt>
    <dgm:pt modelId="{8528A488-AB81-414F-B2FA-C14048940066}" type="sibTrans" cxnId="{D9A750B1-A46B-4D8D-83C1-B619E8E3E40D}">
      <dgm:prSet/>
      <dgm:spPr/>
      <dgm:t>
        <a:bodyPr/>
        <a:lstStyle/>
        <a:p>
          <a:endParaRPr lang="zh-TW" altLang="en-US"/>
        </a:p>
      </dgm:t>
    </dgm:pt>
    <dgm:pt modelId="{ED03AFAD-8B15-4C6D-9830-6DA3C6C403B4}">
      <dgm:prSet/>
      <dgm:spPr/>
      <dgm:t>
        <a:bodyPr/>
        <a:lstStyle/>
        <a:p>
          <a:r>
            <a:rPr lang="zh-TW" altLang="en-US"/>
            <a:t>組成生物體的層次與尺度</a:t>
          </a:r>
        </a:p>
      </dgm:t>
    </dgm:pt>
    <dgm:pt modelId="{A9EFCCA3-D187-4205-9D96-35C48F3E1374}" type="parTrans" cxnId="{CDCC475E-F7F8-46B5-A565-53E0FECFA344}">
      <dgm:prSet/>
      <dgm:spPr/>
      <dgm:t>
        <a:bodyPr/>
        <a:lstStyle/>
        <a:p>
          <a:endParaRPr lang="zh-TW" altLang="en-US"/>
        </a:p>
      </dgm:t>
    </dgm:pt>
    <dgm:pt modelId="{67F38835-5089-4E5D-B988-E7014093D73A}" type="sibTrans" cxnId="{CDCC475E-F7F8-46B5-A565-53E0FECFA344}">
      <dgm:prSet/>
      <dgm:spPr/>
      <dgm:t>
        <a:bodyPr/>
        <a:lstStyle/>
        <a:p>
          <a:endParaRPr lang="zh-TW" altLang="en-US"/>
        </a:p>
      </dgm:t>
    </dgm:pt>
    <dgm:pt modelId="{B79FED26-41EA-4662-B317-650DB87BEEA0}">
      <dgm:prSet/>
      <dgm:spPr/>
      <dgm:t>
        <a:bodyPr/>
        <a:lstStyle/>
        <a:p>
          <a:r>
            <a:rPr lang="zh-TW" altLang="en-US"/>
            <a:t>跨科</a:t>
          </a:r>
          <a:r>
            <a:rPr lang="en-US" altLang="en-US"/>
            <a:t>—</a:t>
          </a:r>
          <a:r>
            <a:rPr lang="zh-TW" altLang="en-US"/>
            <a:t>尺度的認識與應用</a:t>
          </a:r>
        </a:p>
      </dgm:t>
    </dgm:pt>
    <dgm:pt modelId="{F709279F-E923-4631-B0FD-7E00F9C3B78E}" type="parTrans" cxnId="{739A21F8-2B60-4DE8-A990-EE6C4D25E664}">
      <dgm:prSet/>
      <dgm:spPr/>
      <dgm:t>
        <a:bodyPr/>
        <a:lstStyle/>
        <a:p>
          <a:endParaRPr lang="zh-TW" altLang="en-US"/>
        </a:p>
      </dgm:t>
    </dgm:pt>
    <dgm:pt modelId="{D9672930-AF94-45B0-AC47-550904C77D76}" type="sibTrans" cxnId="{739A21F8-2B60-4DE8-A990-EE6C4D25E664}">
      <dgm:prSet/>
      <dgm:spPr/>
      <dgm:t>
        <a:bodyPr/>
        <a:lstStyle/>
        <a:p>
          <a:endParaRPr lang="zh-TW" altLang="en-US"/>
        </a:p>
      </dgm:t>
    </dgm:pt>
    <dgm:pt modelId="{D5E24A96-7E74-4297-AB6A-BF15518150E1}" type="pres">
      <dgm:prSet presAssocID="{87443183-3EF4-4199-9EC7-5A7979514DAA}" presName="Name0" presStyleCnt="0">
        <dgm:presLayoutVars>
          <dgm:dir/>
          <dgm:animLvl val="lvl"/>
          <dgm:resizeHandles val="exact"/>
        </dgm:presLayoutVars>
      </dgm:prSet>
      <dgm:spPr/>
    </dgm:pt>
    <dgm:pt modelId="{60254D6D-1992-4CA6-8C49-F7C467761378}" type="pres">
      <dgm:prSet presAssocID="{3611C66D-5CEC-4544-8E69-C558EF85AE5F}" presName="compositeNode" presStyleCnt="0">
        <dgm:presLayoutVars>
          <dgm:bulletEnabled val="1"/>
        </dgm:presLayoutVars>
      </dgm:prSet>
      <dgm:spPr/>
    </dgm:pt>
    <dgm:pt modelId="{E38F2829-E0CF-4D9C-A7AD-377BAE304E09}" type="pres">
      <dgm:prSet presAssocID="{3611C66D-5CEC-4544-8E69-C558EF85AE5F}" presName="bgRect" presStyleLbl="node1" presStyleIdx="0" presStyleCnt="6"/>
      <dgm:spPr/>
    </dgm:pt>
    <dgm:pt modelId="{86F6FF3D-C78C-4B03-ACB5-A7A2036E69C6}" type="pres">
      <dgm:prSet presAssocID="{3611C66D-5CEC-4544-8E69-C558EF85AE5F}" presName="parentNode" presStyleLbl="node1" presStyleIdx="0" presStyleCnt="6">
        <dgm:presLayoutVars>
          <dgm:chMax val="0"/>
          <dgm:bulletEnabled val="1"/>
        </dgm:presLayoutVars>
      </dgm:prSet>
      <dgm:spPr/>
    </dgm:pt>
    <dgm:pt modelId="{BEEF01CF-2352-4E25-BE78-29C7F767E55C}" type="pres">
      <dgm:prSet presAssocID="{3611C66D-5CEC-4544-8E69-C558EF85AE5F}" presName="childNode" presStyleLbl="node1" presStyleIdx="0" presStyleCnt="6">
        <dgm:presLayoutVars>
          <dgm:bulletEnabled val="1"/>
        </dgm:presLayoutVars>
      </dgm:prSet>
      <dgm:spPr/>
    </dgm:pt>
    <dgm:pt modelId="{40F991A7-0F3F-4003-B3CE-B6FCE23F7A8F}" type="pres">
      <dgm:prSet presAssocID="{503C3A4C-FA88-40DB-83BF-C3AC2F90C702}" presName="hSp" presStyleCnt="0"/>
      <dgm:spPr/>
    </dgm:pt>
    <dgm:pt modelId="{A8D7F97D-86F3-4997-AC37-8DC42F2E2287}" type="pres">
      <dgm:prSet presAssocID="{503C3A4C-FA88-40DB-83BF-C3AC2F90C702}" presName="vProcSp" presStyleCnt="0"/>
      <dgm:spPr/>
    </dgm:pt>
    <dgm:pt modelId="{16EFAF26-8522-4A70-AA43-80185FFAE2A3}" type="pres">
      <dgm:prSet presAssocID="{503C3A4C-FA88-40DB-83BF-C3AC2F90C702}" presName="vSp1" presStyleCnt="0"/>
      <dgm:spPr/>
    </dgm:pt>
    <dgm:pt modelId="{43D7725F-3C79-4E4F-9421-5916CAE930D4}" type="pres">
      <dgm:prSet presAssocID="{503C3A4C-FA88-40DB-83BF-C3AC2F90C702}" presName="simulatedConn" presStyleLbl="solidFgAcc1" presStyleIdx="0" presStyleCnt="5"/>
      <dgm:spPr/>
    </dgm:pt>
    <dgm:pt modelId="{F97297B6-F294-4828-A2A9-03E26DE63C50}" type="pres">
      <dgm:prSet presAssocID="{503C3A4C-FA88-40DB-83BF-C3AC2F90C702}" presName="vSp2" presStyleCnt="0"/>
      <dgm:spPr/>
    </dgm:pt>
    <dgm:pt modelId="{2C7D326C-03BC-48DA-9F51-DBE85D1F7427}" type="pres">
      <dgm:prSet presAssocID="{503C3A4C-FA88-40DB-83BF-C3AC2F90C702}" presName="sibTrans" presStyleCnt="0"/>
      <dgm:spPr/>
    </dgm:pt>
    <dgm:pt modelId="{A8E5BD2D-F6E0-4078-A037-45CEC94D92AE}" type="pres">
      <dgm:prSet presAssocID="{ED03AFAD-8B15-4C6D-9830-6DA3C6C403B4}" presName="compositeNode" presStyleCnt="0">
        <dgm:presLayoutVars>
          <dgm:bulletEnabled val="1"/>
        </dgm:presLayoutVars>
      </dgm:prSet>
      <dgm:spPr/>
    </dgm:pt>
    <dgm:pt modelId="{768E7B14-82C1-46DC-8BDD-4E7A808022C0}" type="pres">
      <dgm:prSet presAssocID="{ED03AFAD-8B15-4C6D-9830-6DA3C6C403B4}" presName="bgRect" presStyleLbl="node1" presStyleIdx="1" presStyleCnt="6"/>
      <dgm:spPr/>
    </dgm:pt>
    <dgm:pt modelId="{6B04A406-5DEE-4977-A1D8-A16420329D1E}" type="pres">
      <dgm:prSet presAssocID="{ED03AFAD-8B15-4C6D-9830-6DA3C6C403B4}" presName="parentNode" presStyleLbl="node1" presStyleIdx="1" presStyleCnt="6">
        <dgm:presLayoutVars>
          <dgm:chMax val="0"/>
          <dgm:bulletEnabled val="1"/>
        </dgm:presLayoutVars>
      </dgm:prSet>
      <dgm:spPr/>
    </dgm:pt>
    <dgm:pt modelId="{6BCB9402-F4E7-4A1E-9590-F8D7E12BF33C}" type="pres">
      <dgm:prSet presAssocID="{ED03AFAD-8B15-4C6D-9830-6DA3C6C403B4}" presName="childNode" presStyleLbl="node1" presStyleIdx="1" presStyleCnt="6">
        <dgm:presLayoutVars>
          <dgm:bulletEnabled val="1"/>
        </dgm:presLayoutVars>
      </dgm:prSet>
      <dgm:spPr/>
    </dgm:pt>
    <dgm:pt modelId="{91F579FF-0313-47B8-84AA-0E8135EDF577}" type="pres">
      <dgm:prSet presAssocID="{67F38835-5089-4E5D-B988-E7014093D73A}" presName="hSp" presStyleCnt="0"/>
      <dgm:spPr/>
    </dgm:pt>
    <dgm:pt modelId="{4331163B-A121-4AB2-BB45-EFDEA5B3593F}" type="pres">
      <dgm:prSet presAssocID="{67F38835-5089-4E5D-B988-E7014093D73A}" presName="vProcSp" presStyleCnt="0"/>
      <dgm:spPr/>
    </dgm:pt>
    <dgm:pt modelId="{D67301FE-5FFB-4FF1-BAA0-BC8100E9C23A}" type="pres">
      <dgm:prSet presAssocID="{67F38835-5089-4E5D-B988-E7014093D73A}" presName="vSp1" presStyleCnt="0"/>
      <dgm:spPr/>
    </dgm:pt>
    <dgm:pt modelId="{C7AC0C06-3EBB-4FBE-AF5A-4180F1F6C435}" type="pres">
      <dgm:prSet presAssocID="{67F38835-5089-4E5D-B988-E7014093D73A}" presName="simulatedConn" presStyleLbl="solidFgAcc1" presStyleIdx="1" presStyleCnt="5"/>
      <dgm:spPr/>
    </dgm:pt>
    <dgm:pt modelId="{C942039D-0B70-48A4-BD3C-7FB9CECFBD2A}" type="pres">
      <dgm:prSet presAssocID="{67F38835-5089-4E5D-B988-E7014093D73A}" presName="vSp2" presStyleCnt="0"/>
      <dgm:spPr/>
    </dgm:pt>
    <dgm:pt modelId="{B5AC0AA1-9616-46F4-95EA-FE0BBDF8663C}" type="pres">
      <dgm:prSet presAssocID="{67F38835-5089-4E5D-B988-E7014093D73A}" presName="sibTrans" presStyleCnt="0"/>
      <dgm:spPr/>
    </dgm:pt>
    <dgm:pt modelId="{75E1E3E2-08F7-4A7A-9990-BB1C8AD7D591}" type="pres">
      <dgm:prSet presAssocID="{0BEC6EEB-D648-4C59-85FF-7C7C0D0FDC83}" presName="compositeNode" presStyleCnt="0">
        <dgm:presLayoutVars>
          <dgm:bulletEnabled val="1"/>
        </dgm:presLayoutVars>
      </dgm:prSet>
      <dgm:spPr/>
    </dgm:pt>
    <dgm:pt modelId="{719B3571-5906-44FA-B3EF-67D1E8639ECF}" type="pres">
      <dgm:prSet presAssocID="{0BEC6EEB-D648-4C59-85FF-7C7C0D0FDC83}" presName="bgRect" presStyleLbl="node1" presStyleIdx="2" presStyleCnt="6"/>
      <dgm:spPr/>
    </dgm:pt>
    <dgm:pt modelId="{6F91AC95-31B8-4836-90A2-EBD20AF5CC80}" type="pres">
      <dgm:prSet presAssocID="{0BEC6EEB-D648-4C59-85FF-7C7C0D0FDC83}" presName="parentNode" presStyleLbl="node1" presStyleIdx="2" presStyleCnt="6">
        <dgm:presLayoutVars>
          <dgm:chMax val="0"/>
          <dgm:bulletEnabled val="1"/>
        </dgm:presLayoutVars>
      </dgm:prSet>
      <dgm:spPr/>
    </dgm:pt>
    <dgm:pt modelId="{588F6DF7-7210-476C-BF3F-721B936425F4}" type="pres">
      <dgm:prSet presAssocID="{0BEC6EEB-D648-4C59-85FF-7C7C0D0FDC83}" presName="childNode" presStyleLbl="node1" presStyleIdx="2" presStyleCnt="6">
        <dgm:presLayoutVars>
          <dgm:bulletEnabled val="1"/>
        </dgm:presLayoutVars>
      </dgm:prSet>
      <dgm:spPr/>
    </dgm:pt>
    <dgm:pt modelId="{2406F68D-7EE0-4548-8875-E9461B3E4F96}" type="pres">
      <dgm:prSet presAssocID="{74DE5DE2-525A-44D9-8B33-6BF324A38E84}" presName="hSp" presStyleCnt="0"/>
      <dgm:spPr/>
    </dgm:pt>
    <dgm:pt modelId="{3CC89516-DC4F-4BD7-A98B-D700874DA170}" type="pres">
      <dgm:prSet presAssocID="{74DE5DE2-525A-44D9-8B33-6BF324A38E84}" presName="vProcSp" presStyleCnt="0"/>
      <dgm:spPr/>
    </dgm:pt>
    <dgm:pt modelId="{6DC6C3EF-ED71-4FC4-9791-134631B6E1DD}" type="pres">
      <dgm:prSet presAssocID="{74DE5DE2-525A-44D9-8B33-6BF324A38E84}" presName="vSp1" presStyleCnt="0"/>
      <dgm:spPr/>
    </dgm:pt>
    <dgm:pt modelId="{FA665F86-A464-48E5-892F-CD5A670A7D14}" type="pres">
      <dgm:prSet presAssocID="{74DE5DE2-525A-44D9-8B33-6BF324A38E84}" presName="simulatedConn" presStyleLbl="solidFgAcc1" presStyleIdx="2" presStyleCnt="5"/>
      <dgm:spPr/>
    </dgm:pt>
    <dgm:pt modelId="{06B8FF96-1360-490E-B0DA-B46A829FB214}" type="pres">
      <dgm:prSet presAssocID="{74DE5DE2-525A-44D9-8B33-6BF324A38E84}" presName="vSp2" presStyleCnt="0"/>
      <dgm:spPr/>
    </dgm:pt>
    <dgm:pt modelId="{6CC0DA7B-3B85-4E48-A0E1-E048AD73A868}" type="pres">
      <dgm:prSet presAssocID="{74DE5DE2-525A-44D9-8B33-6BF324A38E84}" presName="sibTrans" presStyleCnt="0"/>
      <dgm:spPr/>
    </dgm:pt>
    <dgm:pt modelId="{EF0B9EBE-E0CB-4A49-9A9D-F270A26B212B}" type="pres">
      <dgm:prSet presAssocID="{089E4C41-B476-43EC-9D1D-BCEC92B573F9}" presName="compositeNode" presStyleCnt="0">
        <dgm:presLayoutVars>
          <dgm:bulletEnabled val="1"/>
        </dgm:presLayoutVars>
      </dgm:prSet>
      <dgm:spPr/>
    </dgm:pt>
    <dgm:pt modelId="{D3A320A7-E114-42DF-BEF5-1FE6039371D7}" type="pres">
      <dgm:prSet presAssocID="{089E4C41-B476-43EC-9D1D-BCEC92B573F9}" presName="bgRect" presStyleLbl="node1" presStyleIdx="3" presStyleCnt="6"/>
      <dgm:spPr/>
    </dgm:pt>
    <dgm:pt modelId="{212504D0-BBE5-4451-A472-2338BBFAB146}" type="pres">
      <dgm:prSet presAssocID="{089E4C41-B476-43EC-9D1D-BCEC92B573F9}" presName="parentNode" presStyleLbl="node1" presStyleIdx="3" presStyleCnt="6">
        <dgm:presLayoutVars>
          <dgm:chMax val="0"/>
          <dgm:bulletEnabled val="1"/>
        </dgm:presLayoutVars>
      </dgm:prSet>
      <dgm:spPr/>
    </dgm:pt>
    <dgm:pt modelId="{24333010-24FB-4C6C-8F9E-7D9AFE9790BE}" type="pres">
      <dgm:prSet presAssocID="{089E4C41-B476-43EC-9D1D-BCEC92B573F9}" presName="childNode" presStyleLbl="node1" presStyleIdx="3" presStyleCnt="6">
        <dgm:presLayoutVars>
          <dgm:bulletEnabled val="1"/>
        </dgm:presLayoutVars>
      </dgm:prSet>
      <dgm:spPr/>
    </dgm:pt>
    <dgm:pt modelId="{FC37062E-D4D9-46D3-841F-580E04F27843}" type="pres">
      <dgm:prSet presAssocID="{939985D5-9A71-4710-A7A0-6E121D688567}" presName="hSp" presStyleCnt="0"/>
      <dgm:spPr/>
    </dgm:pt>
    <dgm:pt modelId="{784584F9-DD30-4CB4-B881-714542309C05}" type="pres">
      <dgm:prSet presAssocID="{939985D5-9A71-4710-A7A0-6E121D688567}" presName="vProcSp" presStyleCnt="0"/>
      <dgm:spPr/>
    </dgm:pt>
    <dgm:pt modelId="{E0EE4CAB-B9D1-410A-91B4-D78102CCEB4E}" type="pres">
      <dgm:prSet presAssocID="{939985D5-9A71-4710-A7A0-6E121D688567}" presName="vSp1" presStyleCnt="0"/>
      <dgm:spPr/>
    </dgm:pt>
    <dgm:pt modelId="{126B4EBA-286C-4930-8B31-46223285CF96}" type="pres">
      <dgm:prSet presAssocID="{939985D5-9A71-4710-A7A0-6E121D688567}" presName="simulatedConn" presStyleLbl="solidFgAcc1" presStyleIdx="3" presStyleCnt="5"/>
      <dgm:spPr/>
    </dgm:pt>
    <dgm:pt modelId="{6BF8CF9D-1E00-4405-A923-389382318E79}" type="pres">
      <dgm:prSet presAssocID="{939985D5-9A71-4710-A7A0-6E121D688567}" presName="vSp2" presStyleCnt="0"/>
      <dgm:spPr/>
    </dgm:pt>
    <dgm:pt modelId="{BFE89D43-E846-4C4C-B3AB-E2E613A14EAC}" type="pres">
      <dgm:prSet presAssocID="{939985D5-9A71-4710-A7A0-6E121D688567}" presName="sibTrans" presStyleCnt="0"/>
      <dgm:spPr/>
    </dgm:pt>
    <dgm:pt modelId="{E6B596CA-D157-41F1-9BCD-AD1C12FAC297}" type="pres">
      <dgm:prSet presAssocID="{69B1C770-D997-40F9-BFBB-969FB46B17E0}" presName="compositeNode" presStyleCnt="0">
        <dgm:presLayoutVars>
          <dgm:bulletEnabled val="1"/>
        </dgm:presLayoutVars>
      </dgm:prSet>
      <dgm:spPr/>
    </dgm:pt>
    <dgm:pt modelId="{74F4B7D8-9F8C-4418-94FE-D17AA20FC183}" type="pres">
      <dgm:prSet presAssocID="{69B1C770-D997-40F9-BFBB-969FB46B17E0}" presName="bgRect" presStyleLbl="node1" presStyleIdx="4" presStyleCnt="6"/>
      <dgm:spPr/>
    </dgm:pt>
    <dgm:pt modelId="{7FCADD7A-7981-4B61-B9D3-C0F26B1862A2}" type="pres">
      <dgm:prSet presAssocID="{69B1C770-D997-40F9-BFBB-969FB46B17E0}" presName="parentNode" presStyleLbl="node1" presStyleIdx="4" presStyleCnt="6">
        <dgm:presLayoutVars>
          <dgm:chMax val="0"/>
          <dgm:bulletEnabled val="1"/>
        </dgm:presLayoutVars>
      </dgm:prSet>
      <dgm:spPr/>
    </dgm:pt>
    <dgm:pt modelId="{D758651A-9421-4062-9183-705B13AADAA5}" type="pres">
      <dgm:prSet presAssocID="{69B1C770-D997-40F9-BFBB-969FB46B17E0}" presName="childNode" presStyleLbl="node1" presStyleIdx="4" presStyleCnt="6">
        <dgm:presLayoutVars>
          <dgm:bulletEnabled val="1"/>
        </dgm:presLayoutVars>
      </dgm:prSet>
      <dgm:spPr/>
    </dgm:pt>
    <dgm:pt modelId="{C302B739-2AEF-4FF5-A08F-4C3E5E4CE837}" type="pres">
      <dgm:prSet presAssocID="{BD9C586D-F824-4E6B-8758-CC8ACB9ECE72}" presName="hSp" presStyleCnt="0"/>
      <dgm:spPr/>
    </dgm:pt>
    <dgm:pt modelId="{4FF56446-A01F-45E8-A7B3-783F54928979}" type="pres">
      <dgm:prSet presAssocID="{BD9C586D-F824-4E6B-8758-CC8ACB9ECE72}" presName="vProcSp" presStyleCnt="0"/>
      <dgm:spPr/>
    </dgm:pt>
    <dgm:pt modelId="{8B85C01D-D75C-47FA-A787-914A69DEFC97}" type="pres">
      <dgm:prSet presAssocID="{BD9C586D-F824-4E6B-8758-CC8ACB9ECE72}" presName="vSp1" presStyleCnt="0"/>
      <dgm:spPr/>
    </dgm:pt>
    <dgm:pt modelId="{18858653-98BA-4E99-B198-6BF0BF781554}" type="pres">
      <dgm:prSet presAssocID="{BD9C586D-F824-4E6B-8758-CC8ACB9ECE72}" presName="simulatedConn" presStyleLbl="solidFgAcc1" presStyleIdx="4" presStyleCnt="5"/>
      <dgm:spPr/>
    </dgm:pt>
    <dgm:pt modelId="{8E99FF7D-C501-4790-B329-8116C6B4FE42}" type="pres">
      <dgm:prSet presAssocID="{BD9C586D-F824-4E6B-8758-CC8ACB9ECE72}" presName="vSp2" presStyleCnt="0"/>
      <dgm:spPr/>
    </dgm:pt>
    <dgm:pt modelId="{3D4F0F80-EEA8-4FFC-88BF-87EDF37DF70B}" type="pres">
      <dgm:prSet presAssocID="{BD9C586D-F824-4E6B-8758-CC8ACB9ECE72}" presName="sibTrans" presStyleCnt="0"/>
      <dgm:spPr/>
    </dgm:pt>
    <dgm:pt modelId="{FFE16965-A34B-471C-A4BD-6DEBC61E0140}" type="pres">
      <dgm:prSet presAssocID="{D05A4007-2CE5-4B2A-8664-806F957857AA}" presName="compositeNode" presStyleCnt="0">
        <dgm:presLayoutVars>
          <dgm:bulletEnabled val="1"/>
        </dgm:presLayoutVars>
      </dgm:prSet>
      <dgm:spPr/>
    </dgm:pt>
    <dgm:pt modelId="{2A3B76D8-19B5-431D-B268-68A18A4905DB}" type="pres">
      <dgm:prSet presAssocID="{D05A4007-2CE5-4B2A-8664-806F957857AA}" presName="bgRect" presStyleLbl="node1" presStyleIdx="5" presStyleCnt="6"/>
      <dgm:spPr/>
    </dgm:pt>
    <dgm:pt modelId="{FDA9B906-DF85-4775-A628-F200CD2B5A5A}" type="pres">
      <dgm:prSet presAssocID="{D05A4007-2CE5-4B2A-8664-806F957857AA}" presName="parentNode" presStyleLbl="node1" presStyleIdx="5" presStyleCnt="6">
        <dgm:presLayoutVars>
          <dgm:chMax val="0"/>
          <dgm:bulletEnabled val="1"/>
        </dgm:presLayoutVars>
      </dgm:prSet>
      <dgm:spPr/>
    </dgm:pt>
    <dgm:pt modelId="{04789D40-DBB2-402E-A68D-DD071EC06964}" type="pres">
      <dgm:prSet presAssocID="{D05A4007-2CE5-4B2A-8664-806F957857AA}" presName="childNode" presStyleLbl="node1" presStyleIdx="5" presStyleCnt="6">
        <dgm:presLayoutVars>
          <dgm:bulletEnabled val="1"/>
        </dgm:presLayoutVars>
      </dgm:prSet>
      <dgm:spPr/>
    </dgm:pt>
  </dgm:ptLst>
  <dgm:cxnLst>
    <dgm:cxn modelId="{26942C01-D91B-448E-A643-5716098A6952}" srcId="{87443183-3EF4-4199-9EC7-5A7979514DAA}" destId="{69B1C770-D997-40F9-BFBB-969FB46B17E0}" srcOrd="4" destOrd="0" parTransId="{CE9F603B-97FB-4B64-96BA-7A79BDBB4A04}" sibTransId="{BD9C586D-F824-4E6B-8758-CC8ACB9ECE72}"/>
    <dgm:cxn modelId="{D6AE7102-332F-43A6-BDD0-354B548A3D38}" srcId="{089E4C41-B476-43EC-9D1D-BCEC92B573F9}" destId="{0FAB3FF6-4BBB-4EB3-92D3-01ED11B921D0}" srcOrd="2" destOrd="0" parTransId="{9CFD12E7-9CF4-4364-9E9C-14D1DF72E006}" sibTransId="{B917C349-CDE3-46D9-B42E-C519CAF38C4F}"/>
    <dgm:cxn modelId="{C3E0C202-BBE4-4227-972C-24C0FEFC707D}" type="presOf" srcId="{58976419-ABB2-4559-B2C4-42D179B83D6A}" destId="{BEEF01CF-2352-4E25-BE78-29C7F767E55C}" srcOrd="0" destOrd="2" presId="urn:microsoft.com/office/officeart/2005/8/layout/hProcess7"/>
    <dgm:cxn modelId="{51C43407-D94F-437A-BAAE-4906445453DB}" type="presOf" srcId="{69B1C770-D997-40F9-BFBB-969FB46B17E0}" destId="{74F4B7D8-9F8C-4418-94FE-D17AA20FC183}" srcOrd="0" destOrd="0" presId="urn:microsoft.com/office/officeart/2005/8/layout/hProcess7"/>
    <dgm:cxn modelId="{8616160D-706B-4036-B10B-542C94ACCED0}" type="presOf" srcId="{ED03AFAD-8B15-4C6D-9830-6DA3C6C403B4}" destId="{768E7B14-82C1-46DC-8BDD-4E7A808022C0}" srcOrd="0" destOrd="0" presId="urn:microsoft.com/office/officeart/2005/8/layout/hProcess7"/>
    <dgm:cxn modelId="{19857113-61BD-4948-8A48-8AE87C1192BB}" type="presOf" srcId="{6E68D6A5-D825-49D0-AB11-2124031AADA3}" destId="{BEEF01CF-2352-4E25-BE78-29C7F767E55C}" srcOrd="0" destOrd="0" presId="urn:microsoft.com/office/officeart/2005/8/layout/hProcess7"/>
    <dgm:cxn modelId="{73518B1A-63FA-429D-9228-2849A1071B95}" type="presOf" srcId="{1C136A9E-AAF7-465E-A851-C42AAD245756}" destId="{D758651A-9421-4062-9183-705B13AADAA5}" srcOrd="0" destOrd="0" presId="urn:microsoft.com/office/officeart/2005/8/layout/hProcess7"/>
    <dgm:cxn modelId="{D374D21B-AF5A-4EB2-A246-CEF2657C77FA}" type="presOf" srcId="{4625D9C5-AC97-451D-9F85-C31D320F4ED2}" destId="{04789D40-DBB2-402E-A68D-DD071EC06964}" srcOrd="0" destOrd="2" presId="urn:microsoft.com/office/officeart/2005/8/layout/hProcess7"/>
    <dgm:cxn modelId="{1993FD20-C784-47E8-AF3E-C0D5F2257C7A}" type="presOf" srcId="{0D7FF34A-3B18-4809-8C9A-2F0BD2A4AF9A}" destId="{6BCB9402-F4E7-4A1E-9590-F8D7E12BF33C}" srcOrd="0" destOrd="0" presId="urn:microsoft.com/office/officeart/2005/8/layout/hProcess7"/>
    <dgm:cxn modelId="{EF25B122-202B-4F2B-AB71-371A5C17A56E}" srcId="{0BEC6EEB-D648-4C59-85FF-7C7C0D0FDC83}" destId="{9754546A-B20C-4D96-A7FF-3AB7C3A70348}" srcOrd="4" destOrd="0" parTransId="{2FBF7CC1-BA90-4592-AE87-DBA354D19828}" sibTransId="{F4715559-4EC7-4C45-88F7-0020B93596B0}"/>
    <dgm:cxn modelId="{CF515124-2C54-4C2D-B52C-67703FD29A03}" srcId="{0BEC6EEB-D648-4C59-85FF-7C7C0D0FDC83}" destId="{9A44AFBD-50E1-4EA5-8C2A-052F01396FC8}" srcOrd="1" destOrd="0" parTransId="{85D88AEE-1FA2-4B81-A090-F868263932C6}" sibTransId="{8B931D92-01DF-4EA5-A197-F413F4D11D13}"/>
    <dgm:cxn modelId="{6F8B0825-540C-4CA2-B688-B86B64372855}" type="presOf" srcId="{089E4C41-B476-43EC-9D1D-BCEC92B573F9}" destId="{D3A320A7-E114-42DF-BEF5-1FE6039371D7}" srcOrd="0" destOrd="0" presId="urn:microsoft.com/office/officeart/2005/8/layout/hProcess7"/>
    <dgm:cxn modelId="{0284E02B-18E6-47EB-9CBD-54B27CC9285A}" type="presOf" srcId="{0F1013DA-D552-4AA5-99DF-8F18486CD8E9}" destId="{BEEF01CF-2352-4E25-BE78-29C7F767E55C}" srcOrd="0" destOrd="3" presId="urn:microsoft.com/office/officeart/2005/8/layout/hProcess7"/>
    <dgm:cxn modelId="{261D9331-F511-47C5-B0CA-3EC8710DFF18}" srcId="{3611C66D-5CEC-4544-8E69-C558EF85AE5F}" destId="{540AFE45-DFCE-46A3-8CAA-6084630F4C0E}" srcOrd="1" destOrd="0" parTransId="{A995FE07-AD3C-4BAD-90FA-7D1A2A2D694B}" sibTransId="{3A006BA9-0432-4F50-A38D-CA2857DB5707}"/>
    <dgm:cxn modelId="{E5D87F38-8E03-4A82-A07E-787BDC405510}" srcId="{D05A4007-2CE5-4B2A-8664-806F957857AA}" destId="{1075BEFB-853F-457A-AE33-28CCEB0F44FD}" srcOrd="3" destOrd="0" parTransId="{069A81E9-E64E-41E9-8980-81B3B8680FB1}" sibTransId="{E879039F-FCB2-49DC-8182-7EB266C520BB}"/>
    <dgm:cxn modelId="{0DE2A338-4DDE-4DBF-9306-5247E5CF71EF}" type="presOf" srcId="{0BEC6EEB-D648-4C59-85FF-7C7C0D0FDC83}" destId="{719B3571-5906-44FA-B3EF-67D1E8639ECF}" srcOrd="0" destOrd="0" presId="urn:microsoft.com/office/officeart/2005/8/layout/hProcess7"/>
    <dgm:cxn modelId="{F5E8453B-2217-4411-906D-A9D4ADB4D555}" srcId="{0BEC6EEB-D648-4C59-85FF-7C7C0D0FDC83}" destId="{61B7F6E7-0AA1-4C2D-8F91-9EFC9C954B50}" srcOrd="3" destOrd="0" parTransId="{63002145-7D55-47BE-A8F9-462D938C8336}" sibTransId="{6A471A79-C0DC-4E7D-B149-F55C964B9DCE}"/>
    <dgm:cxn modelId="{9822695B-889C-4EF3-A1A4-F84BB0BD5FE1}" srcId="{3611C66D-5CEC-4544-8E69-C558EF85AE5F}" destId="{6E68D6A5-D825-49D0-AB11-2124031AADA3}" srcOrd="0" destOrd="0" parTransId="{84C31993-91D6-49FE-BAC6-2D6BAEF7BB95}" sibTransId="{B7F85938-9754-42B5-A25D-2A2FE3A98A13}"/>
    <dgm:cxn modelId="{CDCC475E-F7F8-46B5-A565-53E0FECFA344}" srcId="{87443183-3EF4-4199-9EC7-5A7979514DAA}" destId="{ED03AFAD-8B15-4C6D-9830-6DA3C6C403B4}" srcOrd="1" destOrd="0" parTransId="{A9EFCCA3-D187-4205-9D96-35C48F3E1374}" sibTransId="{67F38835-5089-4E5D-B988-E7014093D73A}"/>
    <dgm:cxn modelId="{9E21F85E-B00E-46A1-93E5-8ED5F3C0BB60}" srcId="{69B1C770-D997-40F9-BFBB-969FB46B17E0}" destId="{8E76248F-21C4-449F-A4CD-A5C89474A42A}" srcOrd="2" destOrd="0" parTransId="{5226F0FE-0B23-45DF-A9E5-18B2E3220C29}" sibTransId="{EDBF23AC-539D-4D13-A742-9EF24E05FB51}"/>
    <dgm:cxn modelId="{A0B4935F-D6AE-4A76-9B66-8AD95F1D4535}" srcId="{0BEC6EEB-D648-4C59-85FF-7C7C0D0FDC83}" destId="{A0DF94E4-AC74-4E45-A703-22A509C08052}" srcOrd="0" destOrd="0" parTransId="{AC857627-218E-435A-999E-0C47FC34C42E}" sibTransId="{4F71B320-F9E3-48BC-95A5-2CEC781315F1}"/>
    <dgm:cxn modelId="{4DA87741-FD2E-4D42-845E-28FCCE2F7B54}" type="presOf" srcId="{9754546A-B20C-4D96-A7FF-3AB7C3A70348}" destId="{588F6DF7-7210-476C-BF3F-721B936425F4}" srcOrd="0" destOrd="4" presId="urn:microsoft.com/office/officeart/2005/8/layout/hProcess7"/>
    <dgm:cxn modelId="{58B42B45-8FC6-4148-AD03-95BD62A1DBDA}" srcId="{87443183-3EF4-4199-9EC7-5A7979514DAA}" destId="{D05A4007-2CE5-4B2A-8664-806F957857AA}" srcOrd="5" destOrd="0" parTransId="{20CCD1FB-240D-420F-A2A6-77474AC42FF3}" sibTransId="{ED7C06FC-BE62-4441-8329-5AD836B5F085}"/>
    <dgm:cxn modelId="{57A60E4D-FB1B-4B8D-9417-DC8A465C5614}" type="presOf" srcId="{9A44AFBD-50E1-4EA5-8C2A-052F01396FC8}" destId="{588F6DF7-7210-476C-BF3F-721B936425F4}" srcOrd="0" destOrd="1" presId="urn:microsoft.com/office/officeart/2005/8/layout/hProcess7"/>
    <dgm:cxn modelId="{2215BE4D-A142-4B4F-A6FD-10739CB19083}" srcId="{87443183-3EF4-4199-9EC7-5A7979514DAA}" destId="{089E4C41-B476-43EC-9D1D-BCEC92B573F9}" srcOrd="3" destOrd="0" parTransId="{74D75656-432D-4234-A221-2BD015DA3687}" sibTransId="{939985D5-9A71-4710-A7A0-6E121D688567}"/>
    <dgm:cxn modelId="{EA218273-0C57-46E5-8B41-663C18071EAA}" type="presOf" srcId="{3611C66D-5CEC-4544-8E69-C558EF85AE5F}" destId="{86F6FF3D-C78C-4B03-ACB5-A7A2036E69C6}" srcOrd="1" destOrd="0" presId="urn:microsoft.com/office/officeart/2005/8/layout/hProcess7"/>
    <dgm:cxn modelId="{A4360374-A0CA-426B-B39D-90D9039CB3C6}" type="presOf" srcId="{61B7F6E7-0AA1-4C2D-8F91-9EFC9C954B50}" destId="{588F6DF7-7210-476C-BF3F-721B936425F4}" srcOrd="0" destOrd="3" presId="urn:microsoft.com/office/officeart/2005/8/layout/hProcess7"/>
    <dgm:cxn modelId="{61CD7775-7198-49BD-9512-17CD8DCD2914}" type="presOf" srcId="{0BEC6EEB-D648-4C59-85FF-7C7C0D0FDC83}" destId="{6F91AC95-31B8-4836-90A2-EBD20AF5CC80}" srcOrd="1" destOrd="0" presId="urn:microsoft.com/office/officeart/2005/8/layout/hProcess7"/>
    <dgm:cxn modelId="{23BFC359-88DE-48F4-92DC-722E9915DFC8}" srcId="{0BEC6EEB-D648-4C59-85FF-7C7C0D0FDC83}" destId="{024E70F1-A7B9-4C07-A619-46ED5199C466}" srcOrd="2" destOrd="0" parTransId="{5CE9D423-22E6-40A2-81AB-2865E9E10448}" sibTransId="{B1935D12-DCE9-4AF9-8C12-F5E5DC9AEBBD}"/>
    <dgm:cxn modelId="{B377EA7B-308D-436A-96A8-00A89932C327}" type="presOf" srcId="{089E4C41-B476-43EC-9D1D-BCEC92B573F9}" destId="{212504D0-BBE5-4451-A472-2338BBFAB146}" srcOrd="1" destOrd="0" presId="urn:microsoft.com/office/officeart/2005/8/layout/hProcess7"/>
    <dgm:cxn modelId="{AA018481-BC15-4A0C-8014-9395BC0F01BC}" type="presOf" srcId="{1075BEFB-853F-457A-AE33-28CCEB0F44FD}" destId="{04789D40-DBB2-402E-A68D-DD071EC06964}" srcOrd="0" destOrd="3" presId="urn:microsoft.com/office/officeart/2005/8/layout/hProcess7"/>
    <dgm:cxn modelId="{60C62085-D56C-48BC-A280-30DC9DEEF3EE}" type="presOf" srcId="{BC4694FC-12B7-4EBD-893B-D77DE321359E}" destId="{6BCB9402-F4E7-4A1E-9590-F8D7E12BF33C}" srcOrd="0" destOrd="1" presId="urn:microsoft.com/office/officeart/2005/8/layout/hProcess7"/>
    <dgm:cxn modelId="{F95AA58A-6DCA-4D1D-BF77-9F409D418446}" srcId="{69B1C770-D997-40F9-BFBB-969FB46B17E0}" destId="{1C136A9E-AAF7-465E-A851-C42AAD245756}" srcOrd="0" destOrd="0" parTransId="{E1348754-DF26-4A0E-933A-CE366D972E15}" sibTransId="{546C9C68-D347-459D-B7DA-1DBC69E69378}"/>
    <dgm:cxn modelId="{EA191F8F-0D8D-4516-95A3-FD51C76EE160}" srcId="{ED03AFAD-8B15-4C6D-9830-6DA3C6C403B4}" destId="{0D7FF34A-3B18-4809-8C9A-2F0BD2A4AF9A}" srcOrd="0" destOrd="0" parTransId="{3E261BED-48EC-4C8D-84CE-33CF999F9BE9}" sibTransId="{00DC875B-D8DD-4C0E-8B9A-3DCB466016F1}"/>
    <dgm:cxn modelId="{42F2F693-3602-4FE7-A818-BDDF6CCBC539}" srcId="{87443183-3EF4-4199-9EC7-5A7979514DAA}" destId="{3611C66D-5CEC-4544-8E69-C558EF85AE5F}" srcOrd="0" destOrd="0" parTransId="{6EE8C2F3-15DD-477F-9C3A-27492989C116}" sibTransId="{503C3A4C-FA88-40DB-83BF-C3AC2F90C702}"/>
    <dgm:cxn modelId="{C99AC196-02D9-43B3-BE39-1BF9A06451AC}" type="presOf" srcId="{024E70F1-A7B9-4C07-A619-46ED5199C466}" destId="{588F6DF7-7210-476C-BF3F-721B936425F4}" srcOrd="0" destOrd="2" presId="urn:microsoft.com/office/officeart/2005/8/layout/hProcess7"/>
    <dgm:cxn modelId="{4BFDB79C-996C-4881-A4A0-8B1766B8C1D9}" type="presOf" srcId="{69B1C770-D997-40F9-BFBB-969FB46B17E0}" destId="{7FCADD7A-7981-4B61-B9D3-C0F26B1862A2}" srcOrd="1" destOrd="0" presId="urn:microsoft.com/office/officeart/2005/8/layout/hProcess7"/>
    <dgm:cxn modelId="{4380A79E-4C6A-4E65-85FE-1C74FEF2E93E}" type="presOf" srcId="{A0DF94E4-AC74-4E45-A703-22A509C08052}" destId="{588F6DF7-7210-476C-BF3F-721B936425F4}" srcOrd="0" destOrd="0" presId="urn:microsoft.com/office/officeart/2005/8/layout/hProcess7"/>
    <dgm:cxn modelId="{296A139F-F2D3-4F51-A97C-953B19D62503}" srcId="{D05A4007-2CE5-4B2A-8664-806F957857AA}" destId="{0BEE1737-D075-4195-87BE-B1485D6CD7E6}" srcOrd="0" destOrd="0" parTransId="{9F98C712-957F-4AC8-9E95-6101C103B7A9}" sibTransId="{85FA08EE-A5FD-4E0E-A1C3-EA30D735542E}"/>
    <dgm:cxn modelId="{C1F079A2-C34D-4FD8-AC92-5E3F8CB00EA3}" srcId="{D05A4007-2CE5-4B2A-8664-806F957857AA}" destId="{4625D9C5-AC97-451D-9F85-C31D320F4ED2}" srcOrd="2" destOrd="0" parTransId="{829455AD-6C95-4DA3-8D22-329CD98F7F63}" sibTransId="{401EC79E-3911-46EF-91D3-BC4260024690}"/>
    <dgm:cxn modelId="{88BEE4A5-C7B0-4542-AB80-E2CE6B48A6B0}" srcId="{D05A4007-2CE5-4B2A-8664-806F957857AA}" destId="{96130E0E-0865-438B-A06A-7F2A8CCED902}" srcOrd="1" destOrd="0" parTransId="{1C1C0CDB-D761-4C23-961F-785E5BB2B734}" sibTransId="{314B9DF1-A48F-4D40-8382-E4617FBC4AF2}"/>
    <dgm:cxn modelId="{8CD037AA-6539-49BC-B00F-B234B66A5B5D}" srcId="{3611C66D-5CEC-4544-8E69-C558EF85AE5F}" destId="{0F1013DA-D552-4AA5-99DF-8F18486CD8E9}" srcOrd="3" destOrd="0" parTransId="{519BF8EF-2891-4A95-A6EA-1077ECBEACAB}" sibTransId="{AFED7144-4DB4-4819-B3B9-1AC4EF1C5D80}"/>
    <dgm:cxn modelId="{A09DD1AD-CB59-4B81-A5F7-CE3C7161B373}" type="presOf" srcId="{B79FED26-41EA-4662-B317-650DB87BEEA0}" destId="{6BCB9402-F4E7-4A1E-9590-F8D7E12BF33C}" srcOrd="0" destOrd="2" presId="urn:microsoft.com/office/officeart/2005/8/layout/hProcess7"/>
    <dgm:cxn modelId="{D9A750B1-A46B-4D8D-83C1-B619E8E3E40D}" srcId="{ED03AFAD-8B15-4C6D-9830-6DA3C6C403B4}" destId="{BC4694FC-12B7-4EBD-893B-D77DE321359E}" srcOrd="1" destOrd="0" parTransId="{BA5FDA1F-618B-44CC-85FC-580544C6A4F2}" sibTransId="{8528A488-AB81-414F-B2FA-C14048940066}"/>
    <dgm:cxn modelId="{ADF5D2B2-D4EF-4F3F-96FF-E3B151C994DF}" type="presOf" srcId="{0BEE1737-D075-4195-87BE-B1485D6CD7E6}" destId="{04789D40-DBB2-402E-A68D-DD071EC06964}" srcOrd="0" destOrd="0" presId="urn:microsoft.com/office/officeart/2005/8/layout/hProcess7"/>
    <dgm:cxn modelId="{DA8726B5-CE8B-4D29-A59F-14B851362EEC}" type="presOf" srcId="{540AFE45-DFCE-46A3-8CAA-6084630F4C0E}" destId="{BEEF01CF-2352-4E25-BE78-29C7F767E55C}" srcOrd="0" destOrd="1" presId="urn:microsoft.com/office/officeart/2005/8/layout/hProcess7"/>
    <dgm:cxn modelId="{EA9893BF-B2FE-4B0E-B298-24A054D66E17}" type="presOf" srcId="{87443183-3EF4-4199-9EC7-5A7979514DAA}" destId="{D5E24A96-7E74-4297-AB6A-BF15518150E1}" srcOrd="0" destOrd="0" presId="urn:microsoft.com/office/officeart/2005/8/layout/hProcess7"/>
    <dgm:cxn modelId="{239833C3-18E1-4DF8-B072-F0A53A2A67DD}" type="presOf" srcId="{D05A4007-2CE5-4B2A-8664-806F957857AA}" destId="{FDA9B906-DF85-4775-A628-F200CD2B5A5A}" srcOrd="1" destOrd="0" presId="urn:microsoft.com/office/officeart/2005/8/layout/hProcess7"/>
    <dgm:cxn modelId="{50BC18CE-6A03-4291-9F9D-79B4B7752381}" srcId="{089E4C41-B476-43EC-9D1D-BCEC92B573F9}" destId="{875554B5-4691-4BDE-92D6-EC4CDF6E0475}" srcOrd="1" destOrd="0" parTransId="{D0F88FC1-E5E1-43B8-88B2-2B4D7EC50E9D}" sibTransId="{8CF4A99C-29B1-4884-8B6D-E65FB7A93593}"/>
    <dgm:cxn modelId="{A7BDC8D0-5E43-4202-821F-3B25C2534066}" srcId="{87443183-3EF4-4199-9EC7-5A7979514DAA}" destId="{0BEC6EEB-D648-4C59-85FF-7C7C0D0FDC83}" srcOrd="2" destOrd="0" parTransId="{D517D712-01B2-459F-AEDE-1B55B1AF7D9F}" sibTransId="{74DE5DE2-525A-44D9-8B33-6BF324A38E84}"/>
    <dgm:cxn modelId="{58E3E0D8-C144-4076-B65D-1D5C0C3BE2E6}" type="presOf" srcId="{90E3860F-90E8-4BF4-B6B5-88229689F358}" destId="{24333010-24FB-4C6C-8F9E-7D9AFE9790BE}" srcOrd="0" destOrd="0" presId="urn:microsoft.com/office/officeart/2005/8/layout/hProcess7"/>
    <dgm:cxn modelId="{9840D7DC-6B24-4A40-9D3A-54E4FEBEDBC6}" type="presOf" srcId="{875554B5-4691-4BDE-92D6-EC4CDF6E0475}" destId="{24333010-24FB-4C6C-8F9E-7D9AFE9790BE}" srcOrd="0" destOrd="1" presId="urn:microsoft.com/office/officeart/2005/8/layout/hProcess7"/>
    <dgm:cxn modelId="{BC2D10E1-E2A8-4363-A827-07FF660688AA}" type="presOf" srcId="{8E76248F-21C4-449F-A4CD-A5C89474A42A}" destId="{D758651A-9421-4062-9183-705B13AADAA5}" srcOrd="0" destOrd="2" presId="urn:microsoft.com/office/officeart/2005/8/layout/hProcess7"/>
    <dgm:cxn modelId="{DDD6A2E1-4782-4716-8CDB-88D51A7BE90F}" type="presOf" srcId="{D05A4007-2CE5-4B2A-8664-806F957857AA}" destId="{2A3B76D8-19B5-431D-B268-68A18A4905DB}" srcOrd="0" destOrd="0" presId="urn:microsoft.com/office/officeart/2005/8/layout/hProcess7"/>
    <dgm:cxn modelId="{005592E9-2EE5-49E9-9340-D4A299254D5F}" type="presOf" srcId="{C335DDD5-CC9D-498A-AC97-EA7CF1A46CD9}" destId="{D758651A-9421-4062-9183-705B13AADAA5}" srcOrd="0" destOrd="1" presId="urn:microsoft.com/office/officeart/2005/8/layout/hProcess7"/>
    <dgm:cxn modelId="{4B3A55F0-6550-4B52-A04B-703EB0CCC82E}" type="presOf" srcId="{ED03AFAD-8B15-4C6D-9830-6DA3C6C403B4}" destId="{6B04A406-5DEE-4977-A1D8-A16420329D1E}" srcOrd="1" destOrd="0" presId="urn:microsoft.com/office/officeart/2005/8/layout/hProcess7"/>
    <dgm:cxn modelId="{9B1668F1-9B6C-46AC-9836-331E8CA39326}" srcId="{69B1C770-D997-40F9-BFBB-969FB46B17E0}" destId="{C335DDD5-CC9D-498A-AC97-EA7CF1A46CD9}" srcOrd="1" destOrd="0" parTransId="{3957B2A6-8E44-4DFB-A549-84E040058901}" sibTransId="{2B23DFC5-0344-442D-8A74-A3733646F7E8}"/>
    <dgm:cxn modelId="{773FFDF6-DC87-4D9B-B891-68E92D4644C6}" srcId="{089E4C41-B476-43EC-9D1D-BCEC92B573F9}" destId="{90E3860F-90E8-4BF4-B6B5-88229689F358}" srcOrd="0" destOrd="0" parTransId="{134099B8-89AF-42DD-BE87-94122327F82B}" sibTransId="{12FA072F-3BB6-478A-9454-4A8DBC0BF561}"/>
    <dgm:cxn modelId="{EC6609F7-4B46-4F61-A332-9AFD514EB97E}" type="presOf" srcId="{3611C66D-5CEC-4544-8E69-C558EF85AE5F}" destId="{E38F2829-E0CF-4D9C-A7AD-377BAE304E09}" srcOrd="0" destOrd="0" presId="urn:microsoft.com/office/officeart/2005/8/layout/hProcess7"/>
    <dgm:cxn modelId="{739A21F8-2B60-4DE8-A990-EE6C4D25E664}" srcId="{ED03AFAD-8B15-4C6D-9830-6DA3C6C403B4}" destId="{B79FED26-41EA-4662-B317-650DB87BEEA0}" srcOrd="2" destOrd="0" parTransId="{F709279F-E923-4631-B0FD-7E00F9C3B78E}" sibTransId="{D9672930-AF94-45B0-AC47-550904C77D76}"/>
    <dgm:cxn modelId="{86F04DFB-0FE2-4A95-9FDA-89E79A2FDF1E}" type="presOf" srcId="{0FAB3FF6-4BBB-4EB3-92D3-01ED11B921D0}" destId="{24333010-24FB-4C6C-8F9E-7D9AFE9790BE}" srcOrd="0" destOrd="2" presId="urn:microsoft.com/office/officeart/2005/8/layout/hProcess7"/>
    <dgm:cxn modelId="{032A85FB-76DD-477D-9D46-DD5B3F47684B}" srcId="{3611C66D-5CEC-4544-8E69-C558EF85AE5F}" destId="{58976419-ABB2-4559-B2C4-42D179B83D6A}" srcOrd="2" destOrd="0" parTransId="{BF03CBCC-EB1C-4E6A-84BB-C49AABD1A2D1}" sibTransId="{022DC7A8-267D-4388-9969-01279760F1B3}"/>
    <dgm:cxn modelId="{5CE519FD-A0C2-4D73-840E-3FA4CCDB008B}" type="presOf" srcId="{96130E0E-0865-438B-A06A-7F2A8CCED902}" destId="{04789D40-DBB2-402E-A68D-DD071EC06964}" srcOrd="0" destOrd="1" presId="urn:microsoft.com/office/officeart/2005/8/layout/hProcess7"/>
    <dgm:cxn modelId="{F24D6C2C-5BAE-43E4-BD01-A78E2BD92331}" type="presParOf" srcId="{D5E24A96-7E74-4297-AB6A-BF15518150E1}" destId="{60254D6D-1992-4CA6-8C49-F7C467761378}" srcOrd="0" destOrd="0" presId="urn:microsoft.com/office/officeart/2005/8/layout/hProcess7"/>
    <dgm:cxn modelId="{4E8D98A7-643F-4110-B674-D527B7928941}" type="presParOf" srcId="{60254D6D-1992-4CA6-8C49-F7C467761378}" destId="{E38F2829-E0CF-4D9C-A7AD-377BAE304E09}" srcOrd="0" destOrd="0" presId="urn:microsoft.com/office/officeart/2005/8/layout/hProcess7"/>
    <dgm:cxn modelId="{C05F8BC7-D4A7-441C-A38B-C1C817EF2A50}" type="presParOf" srcId="{60254D6D-1992-4CA6-8C49-F7C467761378}" destId="{86F6FF3D-C78C-4B03-ACB5-A7A2036E69C6}" srcOrd="1" destOrd="0" presId="urn:microsoft.com/office/officeart/2005/8/layout/hProcess7"/>
    <dgm:cxn modelId="{2725BBFD-92D0-4C34-91F4-6552F8968F14}" type="presParOf" srcId="{60254D6D-1992-4CA6-8C49-F7C467761378}" destId="{BEEF01CF-2352-4E25-BE78-29C7F767E55C}" srcOrd="2" destOrd="0" presId="urn:microsoft.com/office/officeart/2005/8/layout/hProcess7"/>
    <dgm:cxn modelId="{C51CB24A-4ECD-4ABA-8EA8-2D34CFFA6E9A}" type="presParOf" srcId="{D5E24A96-7E74-4297-AB6A-BF15518150E1}" destId="{40F991A7-0F3F-4003-B3CE-B6FCE23F7A8F}" srcOrd="1" destOrd="0" presId="urn:microsoft.com/office/officeart/2005/8/layout/hProcess7"/>
    <dgm:cxn modelId="{742D6F12-FCD2-4C2C-AA35-970239E3001C}" type="presParOf" srcId="{D5E24A96-7E74-4297-AB6A-BF15518150E1}" destId="{A8D7F97D-86F3-4997-AC37-8DC42F2E2287}" srcOrd="2" destOrd="0" presId="urn:microsoft.com/office/officeart/2005/8/layout/hProcess7"/>
    <dgm:cxn modelId="{335E067A-CAB0-4E30-8904-C2F4B6C8B97E}" type="presParOf" srcId="{A8D7F97D-86F3-4997-AC37-8DC42F2E2287}" destId="{16EFAF26-8522-4A70-AA43-80185FFAE2A3}" srcOrd="0" destOrd="0" presId="urn:microsoft.com/office/officeart/2005/8/layout/hProcess7"/>
    <dgm:cxn modelId="{59346B0B-2A7F-46BF-82E6-66070BFBC76F}" type="presParOf" srcId="{A8D7F97D-86F3-4997-AC37-8DC42F2E2287}" destId="{43D7725F-3C79-4E4F-9421-5916CAE930D4}" srcOrd="1" destOrd="0" presId="urn:microsoft.com/office/officeart/2005/8/layout/hProcess7"/>
    <dgm:cxn modelId="{9BDE060A-2700-4AAB-AF46-A52E2D7674CD}" type="presParOf" srcId="{A8D7F97D-86F3-4997-AC37-8DC42F2E2287}" destId="{F97297B6-F294-4828-A2A9-03E26DE63C50}" srcOrd="2" destOrd="0" presId="urn:microsoft.com/office/officeart/2005/8/layout/hProcess7"/>
    <dgm:cxn modelId="{040D989D-FF2B-4F07-B458-14C29B08344D}" type="presParOf" srcId="{D5E24A96-7E74-4297-AB6A-BF15518150E1}" destId="{2C7D326C-03BC-48DA-9F51-DBE85D1F7427}" srcOrd="3" destOrd="0" presId="urn:microsoft.com/office/officeart/2005/8/layout/hProcess7"/>
    <dgm:cxn modelId="{AEE185B8-1C85-44FB-85C2-B3F8E77BF8FF}" type="presParOf" srcId="{D5E24A96-7E74-4297-AB6A-BF15518150E1}" destId="{A8E5BD2D-F6E0-4078-A037-45CEC94D92AE}" srcOrd="4" destOrd="0" presId="urn:microsoft.com/office/officeart/2005/8/layout/hProcess7"/>
    <dgm:cxn modelId="{CAEF2823-A403-4215-B2F0-295CED1E3B9C}" type="presParOf" srcId="{A8E5BD2D-F6E0-4078-A037-45CEC94D92AE}" destId="{768E7B14-82C1-46DC-8BDD-4E7A808022C0}" srcOrd="0" destOrd="0" presId="urn:microsoft.com/office/officeart/2005/8/layout/hProcess7"/>
    <dgm:cxn modelId="{F82BF6F1-E42C-49C5-B3E1-03A6C9B0E263}" type="presParOf" srcId="{A8E5BD2D-F6E0-4078-A037-45CEC94D92AE}" destId="{6B04A406-5DEE-4977-A1D8-A16420329D1E}" srcOrd="1" destOrd="0" presId="urn:microsoft.com/office/officeart/2005/8/layout/hProcess7"/>
    <dgm:cxn modelId="{0E7BD08A-CA5C-4B02-9EA4-25C59654A319}" type="presParOf" srcId="{A8E5BD2D-F6E0-4078-A037-45CEC94D92AE}" destId="{6BCB9402-F4E7-4A1E-9590-F8D7E12BF33C}" srcOrd="2" destOrd="0" presId="urn:microsoft.com/office/officeart/2005/8/layout/hProcess7"/>
    <dgm:cxn modelId="{64FF1234-90F9-4785-B085-976843F01FBA}" type="presParOf" srcId="{D5E24A96-7E74-4297-AB6A-BF15518150E1}" destId="{91F579FF-0313-47B8-84AA-0E8135EDF577}" srcOrd="5" destOrd="0" presId="urn:microsoft.com/office/officeart/2005/8/layout/hProcess7"/>
    <dgm:cxn modelId="{23FBBE2B-3D05-4D14-8648-D65A5A7A3916}" type="presParOf" srcId="{D5E24A96-7E74-4297-AB6A-BF15518150E1}" destId="{4331163B-A121-4AB2-BB45-EFDEA5B3593F}" srcOrd="6" destOrd="0" presId="urn:microsoft.com/office/officeart/2005/8/layout/hProcess7"/>
    <dgm:cxn modelId="{7C398385-6AA6-4AB2-A4C3-4D4048328F35}" type="presParOf" srcId="{4331163B-A121-4AB2-BB45-EFDEA5B3593F}" destId="{D67301FE-5FFB-4FF1-BAA0-BC8100E9C23A}" srcOrd="0" destOrd="0" presId="urn:microsoft.com/office/officeart/2005/8/layout/hProcess7"/>
    <dgm:cxn modelId="{A2D94B2E-45B1-41B6-9128-BB4234D32E05}" type="presParOf" srcId="{4331163B-A121-4AB2-BB45-EFDEA5B3593F}" destId="{C7AC0C06-3EBB-4FBE-AF5A-4180F1F6C435}" srcOrd="1" destOrd="0" presId="urn:microsoft.com/office/officeart/2005/8/layout/hProcess7"/>
    <dgm:cxn modelId="{B3A30FE5-90EF-4BAD-8288-AA07DBF27AF6}" type="presParOf" srcId="{4331163B-A121-4AB2-BB45-EFDEA5B3593F}" destId="{C942039D-0B70-48A4-BD3C-7FB9CECFBD2A}" srcOrd="2" destOrd="0" presId="urn:microsoft.com/office/officeart/2005/8/layout/hProcess7"/>
    <dgm:cxn modelId="{83476877-2482-439D-99D3-3D59FCDCEBE7}" type="presParOf" srcId="{D5E24A96-7E74-4297-AB6A-BF15518150E1}" destId="{B5AC0AA1-9616-46F4-95EA-FE0BBDF8663C}" srcOrd="7" destOrd="0" presId="urn:microsoft.com/office/officeart/2005/8/layout/hProcess7"/>
    <dgm:cxn modelId="{BA1EC675-C3B4-4008-B1CE-7F57950DB33E}" type="presParOf" srcId="{D5E24A96-7E74-4297-AB6A-BF15518150E1}" destId="{75E1E3E2-08F7-4A7A-9990-BB1C8AD7D591}" srcOrd="8" destOrd="0" presId="urn:microsoft.com/office/officeart/2005/8/layout/hProcess7"/>
    <dgm:cxn modelId="{7F82BA75-A7F1-44C3-823F-1267B1BB3ED5}" type="presParOf" srcId="{75E1E3E2-08F7-4A7A-9990-BB1C8AD7D591}" destId="{719B3571-5906-44FA-B3EF-67D1E8639ECF}" srcOrd="0" destOrd="0" presId="urn:microsoft.com/office/officeart/2005/8/layout/hProcess7"/>
    <dgm:cxn modelId="{9A27E07C-98CC-48E4-8AE4-BBD225DFDD69}" type="presParOf" srcId="{75E1E3E2-08F7-4A7A-9990-BB1C8AD7D591}" destId="{6F91AC95-31B8-4836-90A2-EBD20AF5CC80}" srcOrd="1" destOrd="0" presId="urn:microsoft.com/office/officeart/2005/8/layout/hProcess7"/>
    <dgm:cxn modelId="{ECAF9763-4BFA-4D83-B904-E7563D0BCEF4}" type="presParOf" srcId="{75E1E3E2-08F7-4A7A-9990-BB1C8AD7D591}" destId="{588F6DF7-7210-476C-BF3F-721B936425F4}" srcOrd="2" destOrd="0" presId="urn:microsoft.com/office/officeart/2005/8/layout/hProcess7"/>
    <dgm:cxn modelId="{BA22C8A9-ACDA-4BB7-9AE5-0ABB6E177DD7}" type="presParOf" srcId="{D5E24A96-7E74-4297-AB6A-BF15518150E1}" destId="{2406F68D-7EE0-4548-8875-E9461B3E4F96}" srcOrd="9" destOrd="0" presId="urn:microsoft.com/office/officeart/2005/8/layout/hProcess7"/>
    <dgm:cxn modelId="{CC9B81B7-39D3-4922-9463-F3991A33A21F}" type="presParOf" srcId="{D5E24A96-7E74-4297-AB6A-BF15518150E1}" destId="{3CC89516-DC4F-4BD7-A98B-D700874DA170}" srcOrd="10" destOrd="0" presId="urn:microsoft.com/office/officeart/2005/8/layout/hProcess7"/>
    <dgm:cxn modelId="{ECD4C3A5-02E5-48A0-BD3C-31396FD46063}" type="presParOf" srcId="{3CC89516-DC4F-4BD7-A98B-D700874DA170}" destId="{6DC6C3EF-ED71-4FC4-9791-134631B6E1DD}" srcOrd="0" destOrd="0" presId="urn:microsoft.com/office/officeart/2005/8/layout/hProcess7"/>
    <dgm:cxn modelId="{B595FC71-07B9-4750-A24C-89489E393ECF}" type="presParOf" srcId="{3CC89516-DC4F-4BD7-A98B-D700874DA170}" destId="{FA665F86-A464-48E5-892F-CD5A670A7D14}" srcOrd="1" destOrd="0" presId="urn:microsoft.com/office/officeart/2005/8/layout/hProcess7"/>
    <dgm:cxn modelId="{E4DD85F1-42A2-4A2A-AE93-89EE05747BE9}" type="presParOf" srcId="{3CC89516-DC4F-4BD7-A98B-D700874DA170}" destId="{06B8FF96-1360-490E-B0DA-B46A829FB214}" srcOrd="2" destOrd="0" presId="urn:microsoft.com/office/officeart/2005/8/layout/hProcess7"/>
    <dgm:cxn modelId="{B627ACEF-1517-4DC9-BFC5-E8281666146F}" type="presParOf" srcId="{D5E24A96-7E74-4297-AB6A-BF15518150E1}" destId="{6CC0DA7B-3B85-4E48-A0E1-E048AD73A868}" srcOrd="11" destOrd="0" presId="urn:microsoft.com/office/officeart/2005/8/layout/hProcess7"/>
    <dgm:cxn modelId="{BEB6BFBB-B8F9-42E6-8305-73E9217AFAFD}" type="presParOf" srcId="{D5E24A96-7E74-4297-AB6A-BF15518150E1}" destId="{EF0B9EBE-E0CB-4A49-9A9D-F270A26B212B}" srcOrd="12" destOrd="0" presId="urn:microsoft.com/office/officeart/2005/8/layout/hProcess7"/>
    <dgm:cxn modelId="{4569004F-3714-4618-AF73-0D33F751BBED}" type="presParOf" srcId="{EF0B9EBE-E0CB-4A49-9A9D-F270A26B212B}" destId="{D3A320A7-E114-42DF-BEF5-1FE6039371D7}" srcOrd="0" destOrd="0" presId="urn:microsoft.com/office/officeart/2005/8/layout/hProcess7"/>
    <dgm:cxn modelId="{02476F3B-A688-46BF-8A45-9135A9B867A1}" type="presParOf" srcId="{EF0B9EBE-E0CB-4A49-9A9D-F270A26B212B}" destId="{212504D0-BBE5-4451-A472-2338BBFAB146}" srcOrd="1" destOrd="0" presId="urn:microsoft.com/office/officeart/2005/8/layout/hProcess7"/>
    <dgm:cxn modelId="{D470DFF8-6B13-40B7-AD47-3D53A4E72C9B}" type="presParOf" srcId="{EF0B9EBE-E0CB-4A49-9A9D-F270A26B212B}" destId="{24333010-24FB-4C6C-8F9E-7D9AFE9790BE}" srcOrd="2" destOrd="0" presId="urn:microsoft.com/office/officeart/2005/8/layout/hProcess7"/>
    <dgm:cxn modelId="{8F8E0AB4-AC6C-4EC2-AF7F-5DB6A4F5AA0D}" type="presParOf" srcId="{D5E24A96-7E74-4297-AB6A-BF15518150E1}" destId="{FC37062E-D4D9-46D3-841F-580E04F27843}" srcOrd="13" destOrd="0" presId="urn:microsoft.com/office/officeart/2005/8/layout/hProcess7"/>
    <dgm:cxn modelId="{D3ED768F-BE5A-4153-99E1-69B333CCF102}" type="presParOf" srcId="{D5E24A96-7E74-4297-AB6A-BF15518150E1}" destId="{784584F9-DD30-4CB4-B881-714542309C05}" srcOrd="14" destOrd="0" presId="urn:microsoft.com/office/officeart/2005/8/layout/hProcess7"/>
    <dgm:cxn modelId="{AF3BF306-E4D9-4FAE-A266-A133223C7F2B}" type="presParOf" srcId="{784584F9-DD30-4CB4-B881-714542309C05}" destId="{E0EE4CAB-B9D1-410A-91B4-D78102CCEB4E}" srcOrd="0" destOrd="0" presId="urn:microsoft.com/office/officeart/2005/8/layout/hProcess7"/>
    <dgm:cxn modelId="{FE543EAB-58F9-4334-B606-A0AFD19DC0A8}" type="presParOf" srcId="{784584F9-DD30-4CB4-B881-714542309C05}" destId="{126B4EBA-286C-4930-8B31-46223285CF96}" srcOrd="1" destOrd="0" presId="urn:microsoft.com/office/officeart/2005/8/layout/hProcess7"/>
    <dgm:cxn modelId="{5ADFEDDD-11BA-41AF-8EE3-E03C75B7E549}" type="presParOf" srcId="{784584F9-DD30-4CB4-B881-714542309C05}" destId="{6BF8CF9D-1E00-4405-A923-389382318E79}" srcOrd="2" destOrd="0" presId="urn:microsoft.com/office/officeart/2005/8/layout/hProcess7"/>
    <dgm:cxn modelId="{1502D28F-3380-46BA-91E9-4C11513E0759}" type="presParOf" srcId="{D5E24A96-7E74-4297-AB6A-BF15518150E1}" destId="{BFE89D43-E846-4C4C-B3AB-E2E613A14EAC}" srcOrd="15" destOrd="0" presId="urn:microsoft.com/office/officeart/2005/8/layout/hProcess7"/>
    <dgm:cxn modelId="{68A5F069-69B7-4E09-A416-024F02895558}" type="presParOf" srcId="{D5E24A96-7E74-4297-AB6A-BF15518150E1}" destId="{E6B596CA-D157-41F1-9BCD-AD1C12FAC297}" srcOrd="16" destOrd="0" presId="urn:microsoft.com/office/officeart/2005/8/layout/hProcess7"/>
    <dgm:cxn modelId="{50D36C70-9912-4F5A-B0EA-D35711ABA08E}" type="presParOf" srcId="{E6B596CA-D157-41F1-9BCD-AD1C12FAC297}" destId="{74F4B7D8-9F8C-4418-94FE-D17AA20FC183}" srcOrd="0" destOrd="0" presId="urn:microsoft.com/office/officeart/2005/8/layout/hProcess7"/>
    <dgm:cxn modelId="{ED9E9D36-3AB2-4D20-8FE0-56E3B7D04AAE}" type="presParOf" srcId="{E6B596CA-D157-41F1-9BCD-AD1C12FAC297}" destId="{7FCADD7A-7981-4B61-B9D3-C0F26B1862A2}" srcOrd="1" destOrd="0" presId="urn:microsoft.com/office/officeart/2005/8/layout/hProcess7"/>
    <dgm:cxn modelId="{4B140CDB-A847-4872-93C5-884BD9F5583B}" type="presParOf" srcId="{E6B596CA-D157-41F1-9BCD-AD1C12FAC297}" destId="{D758651A-9421-4062-9183-705B13AADAA5}" srcOrd="2" destOrd="0" presId="urn:microsoft.com/office/officeart/2005/8/layout/hProcess7"/>
    <dgm:cxn modelId="{805C3F4D-3195-4A5E-B33C-A38BDE9E31E2}" type="presParOf" srcId="{D5E24A96-7E74-4297-AB6A-BF15518150E1}" destId="{C302B739-2AEF-4FF5-A08F-4C3E5E4CE837}" srcOrd="17" destOrd="0" presId="urn:microsoft.com/office/officeart/2005/8/layout/hProcess7"/>
    <dgm:cxn modelId="{BC475888-C6A6-4382-B336-8E047A729874}" type="presParOf" srcId="{D5E24A96-7E74-4297-AB6A-BF15518150E1}" destId="{4FF56446-A01F-45E8-A7B3-783F54928979}" srcOrd="18" destOrd="0" presId="urn:microsoft.com/office/officeart/2005/8/layout/hProcess7"/>
    <dgm:cxn modelId="{BA2C9149-89DB-461A-A3DF-8A79D0F0C5B6}" type="presParOf" srcId="{4FF56446-A01F-45E8-A7B3-783F54928979}" destId="{8B85C01D-D75C-47FA-A787-914A69DEFC97}" srcOrd="0" destOrd="0" presId="urn:microsoft.com/office/officeart/2005/8/layout/hProcess7"/>
    <dgm:cxn modelId="{D32D6903-37C9-4641-B05E-FD9CD5080735}" type="presParOf" srcId="{4FF56446-A01F-45E8-A7B3-783F54928979}" destId="{18858653-98BA-4E99-B198-6BF0BF781554}" srcOrd="1" destOrd="0" presId="urn:microsoft.com/office/officeart/2005/8/layout/hProcess7"/>
    <dgm:cxn modelId="{BF113B68-F6BB-4FDA-85FD-2CAE6DAFFF5A}" type="presParOf" srcId="{4FF56446-A01F-45E8-A7B3-783F54928979}" destId="{8E99FF7D-C501-4790-B329-8116C6B4FE42}" srcOrd="2" destOrd="0" presId="urn:microsoft.com/office/officeart/2005/8/layout/hProcess7"/>
    <dgm:cxn modelId="{BB327754-66C2-41A8-8FEE-3350C5ED3134}" type="presParOf" srcId="{D5E24A96-7E74-4297-AB6A-BF15518150E1}" destId="{3D4F0F80-EEA8-4FFC-88BF-87EDF37DF70B}" srcOrd="19" destOrd="0" presId="urn:microsoft.com/office/officeart/2005/8/layout/hProcess7"/>
    <dgm:cxn modelId="{8F930654-1117-4EC6-BB60-EE365B91D796}" type="presParOf" srcId="{D5E24A96-7E74-4297-AB6A-BF15518150E1}" destId="{FFE16965-A34B-471C-A4BD-6DEBC61E0140}" srcOrd="20" destOrd="0" presId="urn:microsoft.com/office/officeart/2005/8/layout/hProcess7"/>
    <dgm:cxn modelId="{96E02A01-0220-4044-A013-92230CE1BB73}" type="presParOf" srcId="{FFE16965-A34B-471C-A4BD-6DEBC61E0140}" destId="{2A3B76D8-19B5-431D-B268-68A18A4905DB}" srcOrd="0" destOrd="0" presId="urn:microsoft.com/office/officeart/2005/8/layout/hProcess7"/>
    <dgm:cxn modelId="{8BBEADEA-9545-4028-8B94-26DFAD33F644}" type="presParOf" srcId="{FFE16965-A34B-471C-A4BD-6DEBC61E0140}" destId="{FDA9B906-DF85-4775-A628-F200CD2B5A5A}" srcOrd="1" destOrd="0" presId="urn:microsoft.com/office/officeart/2005/8/layout/hProcess7"/>
    <dgm:cxn modelId="{11FFC2FA-B4C3-4F34-ADF5-BF85056FB256}" type="presParOf" srcId="{FFE16965-A34B-471C-A4BD-6DEBC61E0140}" destId="{04789D40-DBB2-402E-A68D-DD071EC06964}" srcOrd="2" destOrd="0" presId="urn:microsoft.com/office/officeart/2005/8/layout/hProcess7"/>
  </dgm:cxnLst>
  <dgm:bg/>
  <dgm:whole/>
  <dgm:extLst>
    <a:ext uri="http://schemas.microsoft.com/office/drawing/2008/diagram">
      <dsp:dataModelExt xmlns:dsp="http://schemas.microsoft.com/office/drawing/2008/diagram" relId="rId12"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8F2829-E0CF-4D9C-A7AD-377BAE304E09}">
      <dsp:nvSpPr>
        <dsp:cNvPr id="0" name=""/>
        <dsp:cNvSpPr/>
      </dsp:nvSpPr>
      <dsp:spPr>
        <a:xfrm>
          <a:off x="1324" y="125555"/>
          <a:ext cx="889290" cy="1067149"/>
        </a:xfrm>
        <a:prstGeom prst="roundRect">
          <a:avLst>
            <a:gd name="adj" fmla="val 5000"/>
          </a:avLst>
        </a:prstGeom>
        <a:solidFill>
          <a:schemeClr val="accent1">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0574" rIns="26670" bIns="0" numCol="1" spcCol="1270" anchor="t" anchorCtr="0">
          <a:noAutofit/>
        </a:bodyPr>
        <a:lstStyle/>
        <a:p>
          <a:pPr marL="0" lvl="0" indent="0" algn="r" defTabSz="266700">
            <a:lnSpc>
              <a:spcPct val="90000"/>
            </a:lnSpc>
            <a:spcBef>
              <a:spcPct val="0"/>
            </a:spcBef>
            <a:spcAft>
              <a:spcPct val="35000"/>
            </a:spcAft>
            <a:buNone/>
          </a:pPr>
          <a:r>
            <a:rPr lang="zh-TW" altLang="en-US" sz="600" kern="1200"/>
            <a:t>生命的發現</a:t>
          </a:r>
        </a:p>
      </dsp:txBody>
      <dsp:txXfrm rot="16200000">
        <a:off x="-347277" y="474157"/>
        <a:ext cx="875062" cy="177858"/>
      </dsp:txXfrm>
    </dsp:sp>
    <dsp:sp modelId="{BEEF01CF-2352-4E25-BE78-29C7F767E55C}">
      <dsp:nvSpPr>
        <dsp:cNvPr id="0" name=""/>
        <dsp:cNvSpPr/>
      </dsp:nvSpPr>
      <dsp:spPr>
        <a:xfrm>
          <a:off x="179182" y="125555"/>
          <a:ext cx="662521" cy="106714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4003" rIns="0" bIns="0" numCol="1" spcCol="1270" anchor="t" anchorCtr="0">
          <a:noAutofit/>
        </a:bodyPr>
        <a:lstStyle/>
        <a:p>
          <a:pPr marL="0" lvl="0" indent="0" algn="l" defTabSz="311150">
            <a:lnSpc>
              <a:spcPct val="90000"/>
            </a:lnSpc>
            <a:spcBef>
              <a:spcPct val="0"/>
            </a:spcBef>
            <a:spcAft>
              <a:spcPct val="35000"/>
            </a:spcAft>
            <a:buNone/>
          </a:pPr>
          <a:r>
            <a:rPr lang="zh-TW" altLang="en-US" sz="700" kern="1200"/>
            <a:t>探究自然的方法</a:t>
          </a:r>
        </a:p>
        <a:p>
          <a:pPr marL="0" lvl="0" indent="0" algn="l" defTabSz="311150">
            <a:lnSpc>
              <a:spcPct val="90000"/>
            </a:lnSpc>
            <a:spcBef>
              <a:spcPct val="0"/>
            </a:spcBef>
            <a:spcAft>
              <a:spcPct val="35000"/>
            </a:spcAft>
            <a:buNone/>
          </a:pPr>
          <a:r>
            <a:rPr lang="zh-TW" altLang="en-US" sz="700" kern="1200"/>
            <a:t>生命現象與生物圈</a:t>
          </a:r>
        </a:p>
        <a:p>
          <a:pPr marL="0" lvl="0" indent="0" algn="l" defTabSz="311150">
            <a:lnSpc>
              <a:spcPct val="90000"/>
            </a:lnSpc>
            <a:spcBef>
              <a:spcPct val="0"/>
            </a:spcBef>
            <a:spcAft>
              <a:spcPct val="35000"/>
            </a:spcAft>
            <a:buNone/>
          </a:pPr>
          <a:r>
            <a:rPr lang="zh-TW" altLang="en-US" sz="700" kern="1200"/>
            <a:t>生物體的基本單位</a:t>
          </a:r>
        </a:p>
        <a:p>
          <a:pPr marL="0" lvl="0" indent="0" algn="l" defTabSz="311150">
            <a:lnSpc>
              <a:spcPct val="90000"/>
            </a:lnSpc>
            <a:spcBef>
              <a:spcPct val="0"/>
            </a:spcBef>
            <a:spcAft>
              <a:spcPct val="35000"/>
            </a:spcAft>
            <a:buNone/>
          </a:pPr>
          <a:r>
            <a:rPr lang="zh-TW" altLang="en-US" sz="700" kern="1200"/>
            <a:t>細胞的形態與構造</a:t>
          </a:r>
        </a:p>
      </dsp:txBody>
      <dsp:txXfrm>
        <a:off x="179182" y="125555"/>
        <a:ext cx="662521" cy="1067149"/>
      </dsp:txXfrm>
    </dsp:sp>
    <dsp:sp modelId="{768E7B14-82C1-46DC-8BDD-4E7A808022C0}">
      <dsp:nvSpPr>
        <dsp:cNvPr id="0" name=""/>
        <dsp:cNvSpPr/>
      </dsp:nvSpPr>
      <dsp:spPr>
        <a:xfrm>
          <a:off x="921740" y="125555"/>
          <a:ext cx="889290" cy="1067149"/>
        </a:xfrm>
        <a:prstGeom prst="roundRect">
          <a:avLst>
            <a:gd name="adj" fmla="val 5000"/>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0574" rIns="26670" bIns="0" numCol="1" spcCol="1270" anchor="t" anchorCtr="0">
          <a:noAutofit/>
        </a:bodyPr>
        <a:lstStyle/>
        <a:p>
          <a:pPr marL="0" lvl="0" indent="0" algn="r" defTabSz="266700">
            <a:lnSpc>
              <a:spcPct val="90000"/>
            </a:lnSpc>
            <a:spcBef>
              <a:spcPct val="0"/>
            </a:spcBef>
            <a:spcAft>
              <a:spcPct val="35000"/>
            </a:spcAft>
            <a:buNone/>
          </a:pPr>
          <a:r>
            <a:rPr lang="zh-TW" altLang="en-US" sz="600" kern="1200"/>
            <a:t>組成生物體的層次與尺度</a:t>
          </a:r>
        </a:p>
      </dsp:txBody>
      <dsp:txXfrm rot="16200000">
        <a:off x="573138" y="474157"/>
        <a:ext cx="875062" cy="177858"/>
      </dsp:txXfrm>
    </dsp:sp>
    <dsp:sp modelId="{43D7725F-3C79-4E4F-9421-5916CAE930D4}">
      <dsp:nvSpPr>
        <dsp:cNvPr id="0" name=""/>
        <dsp:cNvSpPr/>
      </dsp:nvSpPr>
      <dsp:spPr>
        <a:xfrm rot="5400000">
          <a:off x="847758" y="973854"/>
          <a:ext cx="156856" cy="133393"/>
        </a:xfrm>
        <a:prstGeom prst="flowChartExtract">
          <a:avLst/>
        </a:prstGeom>
        <a:solidFill>
          <a:schemeClr val="lt1">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BCB9402-F4E7-4A1E-9590-F8D7E12BF33C}">
      <dsp:nvSpPr>
        <dsp:cNvPr id="0" name=""/>
        <dsp:cNvSpPr/>
      </dsp:nvSpPr>
      <dsp:spPr>
        <a:xfrm>
          <a:off x="1099598" y="125555"/>
          <a:ext cx="662521" cy="106714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4003" rIns="0" bIns="0" numCol="1" spcCol="1270" anchor="t" anchorCtr="0">
          <a:noAutofit/>
        </a:bodyPr>
        <a:lstStyle/>
        <a:p>
          <a:pPr marL="0" lvl="0" indent="0" algn="l" defTabSz="311150">
            <a:lnSpc>
              <a:spcPct val="90000"/>
            </a:lnSpc>
            <a:spcBef>
              <a:spcPct val="0"/>
            </a:spcBef>
            <a:spcAft>
              <a:spcPct val="35000"/>
            </a:spcAft>
            <a:buNone/>
          </a:pPr>
          <a:r>
            <a:rPr lang="zh-TW" altLang="en-US" sz="700" kern="1200"/>
            <a:t>細胞的組成與物質進出的方式</a:t>
          </a:r>
        </a:p>
        <a:p>
          <a:pPr marL="0" lvl="0" indent="0" algn="l" defTabSz="311150">
            <a:lnSpc>
              <a:spcPct val="90000"/>
            </a:lnSpc>
            <a:spcBef>
              <a:spcPct val="0"/>
            </a:spcBef>
            <a:spcAft>
              <a:spcPct val="35000"/>
            </a:spcAft>
            <a:buNone/>
          </a:pPr>
          <a:r>
            <a:rPr lang="zh-TW" altLang="en-US" sz="700" kern="1200"/>
            <a:t>生物體的組成層次</a:t>
          </a:r>
        </a:p>
        <a:p>
          <a:pPr marL="0" lvl="0" indent="0" algn="l" defTabSz="311150">
            <a:lnSpc>
              <a:spcPct val="90000"/>
            </a:lnSpc>
            <a:spcBef>
              <a:spcPct val="0"/>
            </a:spcBef>
            <a:spcAft>
              <a:spcPct val="35000"/>
            </a:spcAft>
            <a:buNone/>
          </a:pPr>
          <a:r>
            <a:rPr lang="zh-TW" altLang="en-US" sz="700" kern="1200"/>
            <a:t>跨科</a:t>
          </a:r>
          <a:r>
            <a:rPr lang="en-US" altLang="en-US" sz="700" kern="1200"/>
            <a:t>—</a:t>
          </a:r>
          <a:r>
            <a:rPr lang="zh-TW" altLang="en-US" sz="700" kern="1200"/>
            <a:t>尺度的認識與應用</a:t>
          </a:r>
        </a:p>
      </dsp:txBody>
      <dsp:txXfrm>
        <a:off x="1099598" y="125555"/>
        <a:ext cx="662521" cy="1067149"/>
      </dsp:txXfrm>
    </dsp:sp>
    <dsp:sp modelId="{719B3571-5906-44FA-B3EF-67D1E8639ECF}">
      <dsp:nvSpPr>
        <dsp:cNvPr id="0" name=""/>
        <dsp:cNvSpPr/>
      </dsp:nvSpPr>
      <dsp:spPr>
        <a:xfrm>
          <a:off x="1842156" y="125555"/>
          <a:ext cx="889290" cy="1067149"/>
        </a:xfrm>
        <a:prstGeom prst="roundRect">
          <a:avLst>
            <a:gd name="adj" fmla="val 5000"/>
          </a:avLst>
        </a:prstGeom>
        <a:solidFill>
          <a:schemeClr val="accent6">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0574" rIns="26670" bIns="0" numCol="1" spcCol="1270" anchor="t" anchorCtr="0">
          <a:noAutofit/>
        </a:bodyPr>
        <a:lstStyle/>
        <a:p>
          <a:pPr marL="0" lvl="0" indent="0" algn="r" defTabSz="266700">
            <a:lnSpc>
              <a:spcPct val="90000"/>
            </a:lnSpc>
            <a:spcBef>
              <a:spcPct val="0"/>
            </a:spcBef>
            <a:spcAft>
              <a:spcPct val="35000"/>
            </a:spcAft>
            <a:buNone/>
          </a:pPr>
          <a:r>
            <a:rPr lang="zh-TW" altLang="en-US" sz="600" kern="1200"/>
            <a:t>生物體的營養</a:t>
          </a:r>
        </a:p>
      </dsp:txBody>
      <dsp:txXfrm rot="16200000">
        <a:off x="1493554" y="474157"/>
        <a:ext cx="875062" cy="177858"/>
      </dsp:txXfrm>
    </dsp:sp>
    <dsp:sp modelId="{C7AC0C06-3EBB-4FBE-AF5A-4180F1F6C435}">
      <dsp:nvSpPr>
        <dsp:cNvPr id="0" name=""/>
        <dsp:cNvSpPr/>
      </dsp:nvSpPr>
      <dsp:spPr>
        <a:xfrm rot="5400000">
          <a:off x="1768174" y="973854"/>
          <a:ext cx="156856" cy="133393"/>
        </a:xfrm>
        <a:prstGeom prst="flowChartExtract">
          <a:avLst/>
        </a:prstGeom>
        <a:solidFill>
          <a:schemeClr val="lt1">
            <a:hueOff val="0"/>
            <a:satOff val="0"/>
            <a:lumOff val="0"/>
            <a:alphaOff val="0"/>
          </a:schemeClr>
        </a:solidFill>
        <a:ln w="25400" cap="flat" cmpd="sng" algn="ctr">
          <a:solidFill>
            <a:schemeClr val="accent5">
              <a:hueOff val="-2483469"/>
              <a:satOff val="9953"/>
              <a:lumOff val="2157"/>
              <a:alphaOff val="0"/>
            </a:schemeClr>
          </a:solidFill>
          <a:prstDash val="solid"/>
        </a:ln>
        <a:effectLst/>
      </dsp:spPr>
      <dsp:style>
        <a:lnRef idx="2">
          <a:scrgbClr r="0" g="0" b="0"/>
        </a:lnRef>
        <a:fillRef idx="1">
          <a:scrgbClr r="0" g="0" b="0"/>
        </a:fillRef>
        <a:effectRef idx="0">
          <a:scrgbClr r="0" g="0" b="0"/>
        </a:effectRef>
        <a:fontRef idx="minor"/>
      </dsp:style>
    </dsp:sp>
    <dsp:sp modelId="{588F6DF7-7210-476C-BF3F-721B936425F4}">
      <dsp:nvSpPr>
        <dsp:cNvPr id="0" name=""/>
        <dsp:cNvSpPr/>
      </dsp:nvSpPr>
      <dsp:spPr>
        <a:xfrm>
          <a:off x="2020014" y="125555"/>
          <a:ext cx="662521" cy="106714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4003" rIns="0" bIns="0" numCol="1" spcCol="1270" anchor="t" anchorCtr="0">
          <a:noAutofit/>
        </a:bodyPr>
        <a:lstStyle/>
        <a:p>
          <a:pPr marL="0" lvl="0" indent="0" algn="l" defTabSz="311150">
            <a:lnSpc>
              <a:spcPct val="90000"/>
            </a:lnSpc>
            <a:spcBef>
              <a:spcPct val="0"/>
            </a:spcBef>
            <a:spcAft>
              <a:spcPct val="35000"/>
            </a:spcAft>
            <a:buNone/>
          </a:pPr>
          <a:r>
            <a:rPr lang="zh-TW" altLang="en-US" sz="700" kern="1200"/>
            <a:t>食物中的養分</a:t>
          </a:r>
        </a:p>
        <a:p>
          <a:pPr marL="0" lvl="0" indent="0" algn="l" defTabSz="311150">
            <a:lnSpc>
              <a:spcPct val="90000"/>
            </a:lnSpc>
            <a:spcBef>
              <a:spcPct val="0"/>
            </a:spcBef>
            <a:spcAft>
              <a:spcPct val="35000"/>
            </a:spcAft>
            <a:buNone/>
          </a:pPr>
          <a:r>
            <a:rPr lang="zh-TW" altLang="en-US" sz="700" kern="1200"/>
            <a:t>酵素</a:t>
          </a:r>
        </a:p>
        <a:p>
          <a:pPr marL="0" lvl="0" indent="0" algn="l" defTabSz="311150">
            <a:lnSpc>
              <a:spcPct val="90000"/>
            </a:lnSpc>
            <a:spcBef>
              <a:spcPct val="0"/>
            </a:spcBef>
            <a:spcAft>
              <a:spcPct val="35000"/>
            </a:spcAft>
            <a:buNone/>
          </a:pPr>
          <a:r>
            <a:rPr lang="zh-TW" altLang="en-US" sz="700" kern="1200"/>
            <a:t>植物如何製造養分</a:t>
          </a:r>
        </a:p>
        <a:p>
          <a:pPr marL="0" lvl="0" indent="0" algn="l" defTabSz="311150">
            <a:lnSpc>
              <a:spcPct val="90000"/>
            </a:lnSpc>
            <a:spcBef>
              <a:spcPct val="0"/>
            </a:spcBef>
            <a:spcAft>
              <a:spcPct val="35000"/>
            </a:spcAft>
            <a:buNone/>
          </a:pPr>
          <a:r>
            <a:rPr lang="zh-TW" altLang="en-US" sz="700" kern="1200"/>
            <a:t>人體如何獲得養分</a:t>
          </a:r>
        </a:p>
        <a:p>
          <a:pPr marL="0" lvl="0" indent="0" algn="l" defTabSz="311150">
            <a:lnSpc>
              <a:spcPct val="90000"/>
            </a:lnSpc>
            <a:spcBef>
              <a:spcPct val="0"/>
            </a:spcBef>
            <a:spcAft>
              <a:spcPct val="35000"/>
            </a:spcAft>
            <a:buNone/>
          </a:pPr>
          <a:endParaRPr lang="zh-TW" altLang="en-US" sz="700" kern="1200"/>
        </a:p>
      </dsp:txBody>
      <dsp:txXfrm>
        <a:off x="2020014" y="125555"/>
        <a:ext cx="662521" cy="1067149"/>
      </dsp:txXfrm>
    </dsp:sp>
    <dsp:sp modelId="{D3A320A7-E114-42DF-BEF5-1FE6039371D7}">
      <dsp:nvSpPr>
        <dsp:cNvPr id="0" name=""/>
        <dsp:cNvSpPr/>
      </dsp:nvSpPr>
      <dsp:spPr>
        <a:xfrm>
          <a:off x="2762572" y="125555"/>
          <a:ext cx="889290" cy="1067149"/>
        </a:xfrm>
        <a:prstGeom prst="roundRect">
          <a:avLst>
            <a:gd name="adj" fmla="val 5000"/>
          </a:avLst>
        </a:prstGeom>
        <a:solidFill>
          <a:srgbClr val="C0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0574" rIns="26670" bIns="0" numCol="1" spcCol="1270" anchor="t" anchorCtr="0">
          <a:noAutofit/>
        </a:bodyPr>
        <a:lstStyle/>
        <a:p>
          <a:pPr marL="0" lvl="0" indent="0" algn="r" defTabSz="266700">
            <a:lnSpc>
              <a:spcPct val="90000"/>
            </a:lnSpc>
            <a:spcBef>
              <a:spcPct val="0"/>
            </a:spcBef>
            <a:spcAft>
              <a:spcPct val="35000"/>
            </a:spcAft>
            <a:buNone/>
          </a:pPr>
          <a:r>
            <a:rPr lang="zh-TW" altLang="en-US" sz="600" kern="1200"/>
            <a:t>生物體內的運輸</a:t>
          </a:r>
        </a:p>
      </dsp:txBody>
      <dsp:txXfrm rot="16200000">
        <a:off x="2413970" y="474157"/>
        <a:ext cx="875062" cy="177858"/>
      </dsp:txXfrm>
    </dsp:sp>
    <dsp:sp modelId="{FA665F86-A464-48E5-892F-CD5A670A7D14}">
      <dsp:nvSpPr>
        <dsp:cNvPr id="0" name=""/>
        <dsp:cNvSpPr/>
      </dsp:nvSpPr>
      <dsp:spPr>
        <a:xfrm rot="5400000">
          <a:off x="2688590" y="973854"/>
          <a:ext cx="156856" cy="133393"/>
        </a:xfrm>
        <a:prstGeom prst="flowChartExtract">
          <a:avLst/>
        </a:prstGeom>
        <a:solidFill>
          <a:schemeClr val="lt1">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sp>
    <dsp:sp modelId="{24333010-24FB-4C6C-8F9E-7D9AFE9790BE}">
      <dsp:nvSpPr>
        <dsp:cNvPr id="0" name=""/>
        <dsp:cNvSpPr/>
      </dsp:nvSpPr>
      <dsp:spPr>
        <a:xfrm>
          <a:off x="2940430" y="125555"/>
          <a:ext cx="662521" cy="106714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4003" rIns="0" bIns="0" numCol="1" spcCol="1270" anchor="t" anchorCtr="0">
          <a:noAutofit/>
        </a:bodyPr>
        <a:lstStyle/>
        <a:p>
          <a:pPr marL="0" lvl="0" indent="0" algn="l" defTabSz="311150">
            <a:lnSpc>
              <a:spcPct val="90000"/>
            </a:lnSpc>
            <a:spcBef>
              <a:spcPct val="0"/>
            </a:spcBef>
            <a:spcAft>
              <a:spcPct val="35000"/>
            </a:spcAft>
            <a:buNone/>
          </a:pPr>
          <a:r>
            <a:rPr lang="zh-TW" altLang="en-US" sz="700" kern="1200"/>
            <a:t>植物的運輸構造</a:t>
          </a:r>
        </a:p>
        <a:p>
          <a:pPr marL="0" lvl="0" indent="0" algn="l" defTabSz="311150">
            <a:lnSpc>
              <a:spcPct val="90000"/>
            </a:lnSpc>
            <a:spcBef>
              <a:spcPct val="0"/>
            </a:spcBef>
            <a:spcAft>
              <a:spcPct val="35000"/>
            </a:spcAft>
            <a:buNone/>
          </a:pPr>
          <a:r>
            <a:rPr lang="zh-TW" altLang="en-US" sz="700" kern="1200"/>
            <a:t>人體內的血液循環</a:t>
          </a:r>
        </a:p>
        <a:p>
          <a:pPr marL="0" lvl="0" indent="0" algn="l" defTabSz="311150">
            <a:lnSpc>
              <a:spcPct val="90000"/>
            </a:lnSpc>
            <a:spcBef>
              <a:spcPct val="0"/>
            </a:spcBef>
            <a:spcAft>
              <a:spcPct val="35000"/>
            </a:spcAft>
            <a:buNone/>
          </a:pPr>
          <a:r>
            <a:rPr lang="zh-TW" altLang="en-US" sz="700" kern="1200"/>
            <a:t>人體內的淋巴循環</a:t>
          </a:r>
        </a:p>
      </dsp:txBody>
      <dsp:txXfrm>
        <a:off x="2940430" y="125555"/>
        <a:ext cx="662521" cy="1067149"/>
      </dsp:txXfrm>
    </dsp:sp>
    <dsp:sp modelId="{74F4B7D8-9F8C-4418-94FE-D17AA20FC183}">
      <dsp:nvSpPr>
        <dsp:cNvPr id="0" name=""/>
        <dsp:cNvSpPr/>
      </dsp:nvSpPr>
      <dsp:spPr>
        <a:xfrm>
          <a:off x="3682988" y="125555"/>
          <a:ext cx="889290" cy="1067149"/>
        </a:xfrm>
        <a:prstGeom prst="roundRect">
          <a:avLst>
            <a:gd name="adj" fmla="val 5000"/>
          </a:avLst>
        </a:prstGeom>
        <a:solidFill>
          <a:schemeClr val="accent3">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0574" rIns="26670" bIns="0" numCol="1" spcCol="1270" anchor="t" anchorCtr="0">
          <a:noAutofit/>
        </a:bodyPr>
        <a:lstStyle/>
        <a:p>
          <a:pPr marL="0" lvl="0" indent="0" algn="r" defTabSz="266700">
            <a:lnSpc>
              <a:spcPct val="90000"/>
            </a:lnSpc>
            <a:spcBef>
              <a:spcPct val="0"/>
            </a:spcBef>
            <a:spcAft>
              <a:spcPct val="35000"/>
            </a:spcAft>
            <a:buNone/>
          </a:pPr>
          <a:r>
            <a:rPr lang="zh-TW" altLang="en-US" sz="600" kern="1200"/>
            <a:t>生物體的協調作用</a:t>
          </a:r>
        </a:p>
      </dsp:txBody>
      <dsp:txXfrm rot="16200000">
        <a:off x="3334386" y="474157"/>
        <a:ext cx="875062" cy="177858"/>
      </dsp:txXfrm>
    </dsp:sp>
    <dsp:sp modelId="{126B4EBA-286C-4930-8B31-46223285CF96}">
      <dsp:nvSpPr>
        <dsp:cNvPr id="0" name=""/>
        <dsp:cNvSpPr/>
      </dsp:nvSpPr>
      <dsp:spPr>
        <a:xfrm rot="5400000">
          <a:off x="3609006" y="973854"/>
          <a:ext cx="156856" cy="133393"/>
        </a:xfrm>
        <a:prstGeom prst="flowChartExtract">
          <a:avLst/>
        </a:prstGeom>
        <a:solidFill>
          <a:schemeClr val="lt1">
            <a:hueOff val="0"/>
            <a:satOff val="0"/>
            <a:lumOff val="0"/>
            <a:alphaOff val="0"/>
          </a:schemeClr>
        </a:solidFill>
        <a:ln w="25400" cap="flat" cmpd="sng" algn="ctr">
          <a:solidFill>
            <a:schemeClr val="accent5">
              <a:hueOff val="-7450407"/>
              <a:satOff val="29858"/>
              <a:lumOff val="6471"/>
              <a:alphaOff val="0"/>
            </a:schemeClr>
          </a:solidFill>
          <a:prstDash val="solid"/>
        </a:ln>
        <a:effectLst/>
      </dsp:spPr>
      <dsp:style>
        <a:lnRef idx="2">
          <a:scrgbClr r="0" g="0" b="0"/>
        </a:lnRef>
        <a:fillRef idx="1">
          <a:scrgbClr r="0" g="0" b="0"/>
        </a:fillRef>
        <a:effectRef idx="0">
          <a:scrgbClr r="0" g="0" b="0"/>
        </a:effectRef>
        <a:fontRef idx="minor"/>
      </dsp:style>
    </dsp:sp>
    <dsp:sp modelId="{D758651A-9421-4062-9183-705B13AADAA5}">
      <dsp:nvSpPr>
        <dsp:cNvPr id="0" name=""/>
        <dsp:cNvSpPr/>
      </dsp:nvSpPr>
      <dsp:spPr>
        <a:xfrm>
          <a:off x="3860846" y="125555"/>
          <a:ext cx="662521" cy="106714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4003" rIns="0" bIns="0" numCol="1" spcCol="1270" anchor="t" anchorCtr="0">
          <a:noAutofit/>
        </a:bodyPr>
        <a:lstStyle/>
        <a:p>
          <a:pPr marL="0" lvl="0" indent="0" algn="l" defTabSz="311150">
            <a:lnSpc>
              <a:spcPct val="90000"/>
            </a:lnSpc>
            <a:spcBef>
              <a:spcPct val="0"/>
            </a:spcBef>
            <a:spcAft>
              <a:spcPct val="35000"/>
            </a:spcAft>
            <a:buNone/>
          </a:pPr>
          <a:r>
            <a:rPr lang="zh-TW" altLang="en-US" sz="700" kern="1200"/>
            <a:t>植物的感應</a:t>
          </a:r>
          <a:endParaRPr lang="zh-TW" altLang="zh-TW" sz="700" kern="1200"/>
        </a:p>
        <a:p>
          <a:pPr marL="0" lvl="0" indent="0" algn="l" defTabSz="311150">
            <a:lnSpc>
              <a:spcPct val="90000"/>
            </a:lnSpc>
            <a:spcBef>
              <a:spcPct val="0"/>
            </a:spcBef>
            <a:spcAft>
              <a:spcPct val="35000"/>
            </a:spcAft>
            <a:buNone/>
          </a:pPr>
          <a:r>
            <a:rPr lang="zh-TW" altLang="en-US" sz="700" kern="1200"/>
            <a:t>神經系統</a:t>
          </a:r>
          <a:endParaRPr lang="zh-TW" altLang="zh-TW" sz="700" kern="1200"/>
        </a:p>
        <a:p>
          <a:pPr marL="0" lvl="0" indent="0" algn="l" defTabSz="311150">
            <a:lnSpc>
              <a:spcPct val="90000"/>
            </a:lnSpc>
            <a:spcBef>
              <a:spcPct val="0"/>
            </a:spcBef>
            <a:spcAft>
              <a:spcPct val="35000"/>
            </a:spcAft>
            <a:buNone/>
          </a:pPr>
          <a:r>
            <a:rPr lang="zh-TW" altLang="zh-TW" sz="700" kern="1200"/>
            <a:t>內分泌系統的運作</a:t>
          </a:r>
        </a:p>
      </dsp:txBody>
      <dsp:txXfrm>
        <a:off x="3860846" y="125555"/>
        <a:ext cx="662521" cy="1067149"/>
      </dsp:txXfrm>
    </dsp:sp>
    <dsp:sp modelId="{2A3B76D8-19B5-431D-B268-68A18A4905DB}">
      <dsp:nvSpPr>
        <dsp:cNvPr id="0" name=""/>
        <dsp:cNvSpPr/>
      </dsp:nvSpPr>
      <dsp:spPr>
        <a:xfrm>
          <a:off x="4603404" y="125555"/>
          <a:ext cx="889290" cy="1067149"/>
        </a:xfrm>
        <a:prstGeom prst="roundRect">
          <a:avLst>
            <a:gd name="adj" fmla="val 5000"/>
          </a:avLst>
        </a:prstGeom>
        <a:solidFill>
          <a:schemeClr val="accent1">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20574" rIns="26670" bIns="0" numCol="1" spcCol="1270" anchor="t" anchorCtr="0">
          <a:noAutofit/>
        </a:bodyPr>
        <a:lstStyle/>
        <a:p>
          <a:pPr marL="0" lvl="0" indent="0" algn="r" defTabSz="266700">
            <a:lnSpc>
              <a:spcPct val="90000"/>
            </a:lnSpc>
            <a:spcBef>
              <a:spcPct val="0"/>
            </a:spcBef>
            <a:spcAft>
              <a:spcPct val="35000"/>
            </a:spcAft>
            <a:buNone/>
          </a:pPr>
          <a:r>
            <a:rPr lang="zh-TW" altLang="zh-TW" sz="600" kern="1200"/>
            <a:t>生物體內的恆定</a:t>
          </a:r>
        </a:p>
      </dsp:txBody>
      <dsp:txXfrm rot="16200000">
        <a:off x="4254802" y="474157"/>
        <a:ext cx="875062" cy="177858"/>
      </dsp:txXfrm>
    </dsp:sp>
    <dsp:sp modelId="{18858653-98BA-4E99-B198-6BF0BF781554}">
      <dsp:nvSpPr>
        <dsp:cNvPr id="0" name=""/>
        <dsp:cNvSpPr/>
      </dsp:nvSpPr>
      <dsp:spPr>
        <a:xfrm rot="5400000">
          <a:off x="4529422" y="973854"/>
          <a:ext cx="156856" cy="133393"/>
        </a:xfrm>
        <a:prstGeom prst="flowChartExtract">
          <a:avLst/>
        </a:prstGeom>
        <a:solidFill>
          <a:schemeClr val="lt1">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sp>
    <dsp:sp modelId="{04789D40-DBB2-402E-A68D-DD071EC06964}">
      <dsp:nvSpPr>
        <dsp:cNvPr id="0" name=""/>
        <dsp:cNvSpPr/>
      </dsp:nvSpPr>
      <dsp:spPr>
        <a:xfrm>
          <a:off x="4781262" y="125555"/>
          <a:ext cx="662521" cy="1067149"/>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24003" rIns="0" bIns="0" numCol="1" spcCol="1270" anchor="t" anchorCtr="0">
          <a:noAutofit/>
        </a:bodyPr>
        <a:lstStyle/>
        <a:p>
          <a:pPr marL="0" lvl="0" indent="0" algn="l" defTabSz="311150">
            <a:lnSpc>
              <a:spcPct val="90000"/>
            </a:lnSpc>
            <a:spcBef>
              <a:spcPct val="0"/>
            </a:spcBef>
            <a:spcAft>
              <a:spcPct val="35000"/>
            </a:spcAft>
            <a:buNone/>
          </a:pPr>
          <a:r>
            <a:rPr lang="zh-TW" altLang="en-US" sz="700" kern="1200"/>
            <a:t>血糖的恆定</a:t>
          </a:r>
        </a:p>
        <a:p>
          <a:pPr marL="0" lvl="0" indent="0" algn="l" defTabSz="311150">
            <a:lnSpc>
              <a:spcPct val="90000"/>
            </a:lnSpc>
            <a:spcBef>
              <a:spcPct val="0"/>
            </a:spcBef>
            <a:spcAft>
              <a:spcPct val="35000"/>
            </a:spcAft>
            <a:buNone/>
          </a:pPr>
          <a:r>
            <a:rPr lang="zh-TW" altLang="en-US" sz="700" kern="1200"/>
            <a:t>呼吸與氣體的恆定</a:t>
          </a:r>
        </a:p>
        <a:p>
          <a:pPr marL="0" lvl="0" indent="0" algn="l" defTabSz="311150">
            <a:lnSpc>
              <a:spcPct val="90000"/>
            </a:lnSpc>
            <a:spcBef>
              <a:spcPct val="0"/>
            </a:spcBef>
            <a:spcAft>
              <a:spcPct val="35000"/>
            </a:spcAft>
            <a:buNone/>
          </a:pPr>
          <a:r>
            <a:rPr lang="zh-TW" altLang="en-US" sz="700" kern="1200"/>
            <a:t>體溫的恆定</a:t>
          </a:r>
        </a:p>
        <a:p>
          <a:pPr marL="0" lvl="0" indent="0" algn="l" defTabSz="311150">
            <a:lnSpc>
              <a:spcPct val="90000"/>
            </a:lnSpc>
            <a:spcBef>
              <a:spcPct val="0"/>
            </a:spcBef>
            <a:spcAft>
              <a:spcPct val="35000"/>
            </a:spcAft>
            <a:buNone/>
          </a:pPr>
          <a:r>
            <a:rPr lang="zh-TW" altLang="en-US" sz="700" kern="1200"/>
            <a:t>排泄與水分的恆定</a:t>
          </a:r>
        </a:p>
      </dsp:txBody>
      <dsp:txXfrm>
        <a:off x="4781262" y="125555"/>
        <a:ext cx="662521" cy="1067149"/>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D2518-8B6C-4359-84C7-597DB25BF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807</Words>
  <Characters>4606</Characters>
  <Application>Microsoft Office Word</Application>
  <DocSecurity>0</DocSecurity>
  <Lines>38</Lines>
  <Paragraphs>10</Paragraphs>
  <ScaleCrop>false</ScaleCrop>
  <Company/>
  <LinksUpToDate>false</LinksUpToDate>
  <CharactersWithSpaces>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traveler</dc:creator>
  <cp:lastModifiedBy>user</cp:lastModifiedBy>
  <cp:revision>7</cp:revision>
  <cp:lastPrinted>2024-05-16T01:17:00Z</cp:lastPrinted>
  <dcterms:created xsi:type="dcterms:W3CDTF">2021-06-29T01:19:00Z</dcterms:created>
  <dcterms:modified xsi:type="dcterms:W3CDTF">2025-06-03T01:18:00Z</dcterms:modified>
</cp:coreProperties>
</file>